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FC094" w14:textId="77777777" w:rsidR="00EF75CC" w:rsidRDefault="00EF75CC" w:rsidP="001D308B">
      <w:pPr>
        <w:rPr>
          <w:b/>
          <w:bCs/>
          <w:sz w:val="72"/>
          <w:szCs w:val="72"/>
        </w:rPr>
      </w:pPr>
    </w:p>
    <w:p w14:paraId="4BBD98AF" w14:textId="6255CA79" w:rsidR="00EF75CC" w:rsidRDefault="00EF75CC" w:rsidP="00BC2630">
      <w:pPr>
        <w:jc w:val="center"/>
        <w:rPr>
          <w:b/>
          <w:bCs/>
          <w:sz w:val="28"/>
          <w:szCs w:val="28"/>
        </w:rPr>
      </w:pPr>
      <w:r w:rsidRPr="00EF75CC">
        <w:rPr>
          <w:b/>
          <w:bCs/>
          <w:noProof/>
          <w:sz w:val="72"/>
          <w:szCs w:val="72"/>
        </w:rPr>
        <w:drawing>
          <wp:inline distT="0" distB="0" distL="0" distR="0" wp14:anchorId="46CDBB04" wp14:editId="50055418">
            <wp:extent cx="5183945" cy="1021080"/>
            <wp:effectExtent l="0" t="0" r="0" b="0"/>
            <wp:docPr id="1992833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833658" name=""/>
                    <pic:cNvPicPr/>
                  </pic:nvPicPr>
                  <pic:blipFill>
                    <a:blip r:embed="rId5"/>
                    <a:stretch>
                      <a:fillRect/>
                    </a:stretch>
                  </pic:blipFill>
                  <pic:spPr>
                    <a:xfrm>
                      <a:off x="0" y="0"/>
                      <a:ext cx="5216768" cy="1027545"/>
                    </a:xfrm>
                    <a:prstGeom prst="rect">
                      <a:avLst/>
                    </a:prstGeom>
                  </pic:spPr>
                </pic:pic>
              </a:graphicData>
            </a:graphic>
          </wp:inline>
        </w:drawing>
      </w:r>
    </w:p>
    <w:p w14:paraId="6E36194C" w14:textId="77777777" w:rsidR="00BC2630" w:rsidRPr="00BC2630" w:rsidRDefault="00BC2630" w:rsidP="00BC2630">
      <w:pPr>
        <w:jc w:val="center"/>
        <w:rPr>
          <w:b/>
          <w:bCs/>
          <w:sz w:val="28"/>
          <w:szCs w:val="28"/>
        </w:rPr>
      </w:pPr>
    </w:p>
    <w:p w14:paraId="33A8890D" w14:textId="43975108" w:rsidR="00EF75CC" w:rsidRPr="00EF75CC" w:rsidRDefault="00EF75CC" w:rsidP="00EF75CC">
      <w:pPr>
        <w:jc w:val="center"/>
        <w:rPr>
          <w:b/>
          <w:bCs/>
          <w:sz w:val="72"/>
          <w:szCs w:val="72"/>
        </w:rPr>
      </w:pPr>
      <w:r w:rsidRPr="00EF75CC">
        <w:rPr>
          <w:b/>
          <w:bCs/>
          <w:sz w:val="72"/>
          <w:szCs w:val="72"/>
        </w:rPr>
        <w:t>PE and Sports Premium</w:t>
      </w:r>
    </w:p>
    <w:p w14:paraId="55D88C42" w14:textId="343C11AA" w:rsidR="00EF75CC" w:rsidRPr="00EF75CC" w:rsidRDefault="00EF75CC" w:rsidP="00EF75CC">
      <w:pPr>
        <w:jc w:val="center"/>
        <w:rPr>
          <w:b/>
          <w:bCs/>
          <w:sz w:val="72"/>
          <w:szCs w:val="72"/>
        </w:rPr>
      </w:pPr>
      <w:r w:rsidRPr="00EF75CC">
        <w:rPr>
          <w:b/>
          <w:bCs/>
          <w:sz w:val="72"/>
          <w:szCs w:val="72"/>
        </w:rPr>
        <w:t>Action Plan</w:t>
      </w:r>
    </w:p>
    <w:p w14:paraId="29C0B9C5" w14:textId="2B901FE2" w:rsidR="00A7205B" w:rsidRPr="00BC2630" w:rsidRDefault="00EF75CC" w:rsidP="00EF75CC">
      <w:pPr>
        <w:jc w:val="center"/>
        <w:rPr>
          <w:b/>
          <w:bCs/>
          <w:sz w:val="72"/>
          <w:szCs w:val="72"/>
        </w:rPr>
      </w:pPr>
      <w:r w:rsidRPr="00BC2630">
        <w:rPr>
          <w:b/>
          <w:bCs/>
          <w:sz w:val="72"/>
          <w:szCs w:val="72"/>
        </w:rPr>
        <w:t>2025 – 2026</w:t>
      </w:r>
    </w:p>
    <w:tbl>
      <w:tblPr>
        <w:tblStyle w:val="TableGrid"/>
        <w:tblpPr w:leftFromText="180" w:rightFromText="180" w:vertAnchor="text" w:horzAnchor="page" w:tblpXSpec="center" w:tblpY="629"/>
        <w:tblW w:w="7424" w:type="dxa"/>
        <w:tblLook w:val="04A0" w:firstRow="1" w:lastRow="0" w:firstColumn="1" w:lastColumn="0" w:noHBand="0" w:noVBand="1"/>
      </w:tblPr>
      <w:tblGrid>
        <w:gridCol w:w="3712"/>
        <w:gridCol w:w="3712"/>
      </w:tblGrid>
      <w:tr w:rsidR="00846361" w:rsidRPr="00BC2630" w14:paraId="119E88B4" w14:textId="5B816F42" w:rsidTr="00846361">
        <w:trPr>
          <w:trHeight w:val="430"/>
        </w:trPr>
        <w:tc>
          <w:tcPr>
            <w:tcW w:w="3712" w:type="dxa"/>
          </w:tcPr>
          <w:p w14:paraId="741AB192" w14:textId="77777777" w:rsidR="00846361" w:rsidRPr="00BC2630" w:rsidRDefault="00846361" w:rsidP="00BC2630">
            <w:pPr>
              <w:jc w:val="center"/>
              <w:rPr>
                <w:b/>
                <w:bCs/>
              </w:rPr>
            </w:pPr>
            <w:r w:rsidRPr="00BC2630">
              <w:rPr>
                <w:b/>
                <w:bCs/>
              </w:rPr>
              <w:t>Academic year:</w:t>
            </w:r>
          </w:p>
        </w:tc>
        <w:tc>
          <w:tcPr>
            <w:tcW w:w="3712" w:type="dxa"/>
          </w:tcPr>
          <w:p w14:paraId="3F1B33C9" w14:textId="49CF4AA3" w:rsidR="00846361" w:rsidRPr="00BC2630" w:rsidRDefault="00846361" w:rsidP="00BC2630">
            <w:pPr>
              <w:jc w:val="center"/>
              <w:rPr>
                <w:b/>
                <w:bCs/>
              </w:rPr>
            </w:pPr>
            <w:r w:rsidRPr="00BC2630">
              <w:rPr>
                <w:b/>
                <w:bCs/>
              </w:rPr>
              <w:t>2025-2026</w:t>
            </w:r>
          </w:p>
        </w:tc>
      </w:tr>
      <w:tr w:rsidR="00846361" w:rsidRPr="00BC2630" w14:paraId="39AA92D3" w14:textId="2AA96E57" w:rsidTr="00846361">
        <w:trPr>
          <w:trHeight w:val="363"/>
        </w:trPr>
        <w:tc>
          <w:tcPr>
            <w:tcW w:w="3712" w:type="dxa"/>
          </w:tcPr>
          <w:p w14:paraId="09EF1D56" w14:textId="77777777" w:rsidR="00846361" w:rsidRPr="00BC2630" w:rsidRDefault="00846361" w:rsidP="00BC2630">
            <w:pPr>
              <w:jc w:val="center"/>
              <w:rPr>
                <w:b/>
                <w:bCs/>
              </w:rPr>
            </w:pPr>
            <w:r w:rsidRPr="00BC2630">
              <w:rPr>
                <w:b/>
                <w:bCs/>
              </w:rPr>
              <w:t>Total Funding Allocation:</w:t>
            </w:r>
          </w:p>
        </w:tc>
        <w:tc>
          <w:tcPr>
            <w:tcW w:w="3712" w:type="dxa"/>
          </w:tcPr>
          <w:p w14:paraId="35452BB5" w14:textId="599D58E8" w:rsidR="00846361" w:rsidRPr="00BC2630" w:rsidRDefault="00846361" w:rsidP="00BC2630">
            <w:pPr>
              <w:jc w:val="center"/>
              <w:rPr>
                <w:b/>
                <w:bCs/>
              </w:rPr>
            </w:pPr>
            <w:r w:rsidRPr="00BC2630">
              <w:rPr>
                <w:b/>
                <w:bCs/>
              </w:rPr>
              <w:t>£17,770</w:t>
            </w:r>
          </w:p>
        </w:tc>
      </w:tr>
      <w:tr w:rsidR="00846361" w:rsidRPr="00BC2630" w14:paraId="0A4B3E37" w14:textId="77777777" w:rsidTr="00846361">
        <w:trPr>
          <w:trHeight w:val="363"/>
        </w:trPr>
        <w:tc>
          <w:tcPr>
            <w:tcW w:w="3712" w:type="dxa"/>
          </w:tcPr>
          <w:p w14:paraId="696DA0B7" w14:textId="77777777" w:rsidR="00846361" w:rsidRPr="00BC2630" w:rsidRDefault="00846361" w:rsidP="00BC2630">
            <w:pPr>
              <w:jc w:val="center"/>
              <w:rPr>
                <w:b/>
                <w:bCs/>
              </w:rPr>
            </w:pPr>
          </w:p>
        </w:tc>
        <w:tc>
          <w:tcPr>
            <w:tcW w:w="3712" w:type="dxa"/>
          </w:tcPr>
          <w:p w14:paraId="2DBB6CD7" w14:textId="77777777" w:rsidR="00846361" w:rsidRPr="00BC2630" w:rsidRDefault="00846361" w:rsidP="00BC2630">
            <w:pPr>
              <w:jc w:val="center"/>
              <w:rPr>
                <w:b/>
                <w:bCs/>
              </w:rPr>
            </w:pPr>
          </w:p>
        </w:tc>
      </w:tr>
      <w:tr w:rsidR="00846361" w:rsidRPr="00BC2630" w14:paraId="250CD6F5" w14:textId="1DFFEC68" w:rsidTr="00846361">
        <w:trPr>
          <w:trHeight w:val="331"/>
        </w:trPr>
        <w:tc>
          <w:tcPr>
            <w:tcW w:w="3712" w:type="dxa"/>
          </w:tcPr>
          <w:p w14:paraId="5FCF7AD9" w14:textId="77777777" w:rsidR="00846361" w:rsidRPr="00BC2630" w:rsidRDefault="00846361" w:rsidP="00BC2630">
            <w:pPr>
              <w:jc w:val="center"/>
              <w:rPr>
                <w:b/>
                <w:bCs/>
              </w:rPr>
            </w:pPr>
            <w:r w:rsidRPr="00BC2630">
              <w:rPr>
                <w:b/>
                <w:bCs/>
              </w:rPr>
              <w:t>Carry forward from last year:</w:t>
            </w:r>
          </w:p>
        </w:tc>
        <w:tc>
          <w:tcPr>
            <w:tcW w:w="3712" w:type="dxa"/>
          </w:tcPr>
          <w:p w14:paraId="35A8BAA3" w14:textId="1DD598A9" w:rsidR="00846361" w:rsidRPr="00BC2630" w:rsidRDefault="00846361" w:rsidP="00BC2630">
            <w:pPr>
              <w:jc w:val="center"/>
              <w:rPr>
                <w:b/>
                <w:bCs/>
              </w:rPr>
            </w:pPr>
            <w:r w:rsidRPr="00BC2630">
              <w:rPr>
                <w:b/>
                <w:bCs/>
              </w:rPr>
              <w:t>£0</w:t>
            </w:r>
          </w:p>
        </w:tc>
      </w:tr>
      <w:tr w:rsidR="00846361" w:rsidRPr="00BC2630" w14:paraId="4B31A345" w14:textId="33B24C39" w:rsidTr="00846361">
        <w:trPr>
          <w:trHeight w:val="373"/>
        </w:trPr>
        <w:tc>
          <w:tcPr>
            <w:tcW w:w="3712" w:type="dxa"/>
          </w:tcPr>
          <w:p w14:paraId="789F4360" w14:textId="77777777" w:rsidR="00846361" w:rsidRPr="00BC2630" w:rsidRDefault="00846361" w:rsidP="00BC2630">
            <w:pPr>
              <w:jc w:val="center"/>
              <w:rPr>
                <w:b/>
                <w:bCs/>
              </w:rPr>
            </w:pPr>
            <w:r w:rsidRPr="00BC2630">
              <w:rPr>
                <w:b/>
                <w:bCs/>
              </w:rPr>
              <w:t>Total to spend:</w:t>
            </w:r>
          </w:p>
        </w:tc>
        <w:tc>
          <w:tcPr>
            <w:tcW w:w="3712" w:type="dxa"/>
          </w:tcPr>
          <w:p w14:paraId="10E8B9EE" w14:textId="33DC5709" w:rsidR="00846361" w:rsidRPr="00BC2630" w:rsidRDefault="00846361" w:rsidP="00BC2630">
            <w:pPr>
              <w:jc w:val="center"/>
              <w:rPr>
                <w:b/>
                <w:bCs/>
              </w:rPr>
            </w:pPr>
            <w:r w:rsidRPr="00BC2630">
              <w:rPr>
                <w:b/>
                <w:bCs/>
              </w:rPr>
              <w:t>£17,770</w:t>
            </w:r>
          </w:p>
        </w:tc>
      </w:tr>
      <w:tr w:rsidR="00846361" w:rsidRPr="00BC2630" w14:paraId="33BCE67E" w14:textId="60337675" w:rsidTr="00846361">
        <w:trPr>
          <w:trHeight w:val="523"/>
        </w:trPr>
        <w:tc>
          <w:tcPr>
            <w:tcW w:w="3712" w:type="dxa"/>
          </w:tcPr>
          <w:p w14:paraId="4A5176AA" w14:textId="264E52B1" w:rsidR="00846361" w:rsidRPr="00BC2630" w:rsidRDefault="00846361" w:rsidP="00BC2630">
            <w:pPr>
              <w:jc w:val="center"/>
              <w:rPr>
                <w:b/>
                <w:bCs/>
              </w:rPr>
            </w:pPr>
            <w:r w:rsidRPr="00BC2630">
              <w:rPr>
                <w:b/>
                <w:bCs/>
              </w:rPr>
              <w:t>Actual Funding Spent:</w:t>
            </w:r>
          </w:p>
        </w:tc>
        <w:tc>
          <w:tcPr>
            <w:tcW w:w="3712" w:type="dxa"/>
          </w:tcPr>
          <w:p w14:paraId="3242477A" w14:textId="77777777" w:rsidR="00846361" w:rsidRPr="00BC2630" w:rsidRDefault="00846361" w:rsidP="00BC2630">
            <w:pPr>
              <w:jc w:val="center"/>
              <w:rPr>
                <w:b/>
                <w:bCs/>
              </w:rPr>
            </w:pPr>
          </w:p>
        </w:tc>
      </w:tr>
      <w:tr w:rsidR="00846361" w:rsidRPr="00BC2630" w14:paraId="3B846CFC" w14:textId="77777777" w:rsidTr="00846361">
        <w:trPr>
          <w:trHeight w:val="523"/>
        </w:trPr>
        <w:tc>
          <w:tcPr>
            <w:tcW w:w="3712" w:type="dxa"/>
          </w:tcPr>
          <w:p w14:paraId="7F74DCD1" w14:textId="77777777" w:rsidR="00846361" w:rsidRPr="00BC2630" w:rsidRDefault="00846361" w:rsidP="00BC2630">
            <w:pPr>
              <w:jc w:val="center"/>
              <w:rPr>
                <w:b/>
                <w:bCs/>
              </w:rPr>
            </w:pPr>
          </w:p>
        </w:tc>
        <w:tc>
          <w:tcPr>
            <w:tcW w:w="3712" w:type="dxa"/>
          </w:tcPr>
          <w:p w14:paraId="414829BF" w14:textId="77777777" w:rsidR="00846361" w:rsidRPr="00BC2630" w:rsidRDefault="00846361" w:rsidP="00BC2630">
            <w:pPr>
              <w:jc w:val="center"/>
              <w:rPr>
                <w:b/>
                <w:bCs/>
              </w:rPr>
            </w:pPr>
          </w:p>
        </w:tc>
      </w:tr>
    </w:tbl>
    <w:p w14:paraId="2D5D3833" w14:textId="77777777" w:rsidR="00BC2630" w:rsidRDefault="00BC2630" w:rsidP="00EF75CC"/>
    <w:p w14:paraId="348D488A" w14:textId="77777777" w:rsidR="00BC2630" w:rsidRDefault="00BC2630" w:rsidP="00EF75CC"/>
    <w:p w14:paraId="352A270D" w14:textId="77777777" w:rsidR="00BC2630" w:rsidRDefault="00BC2630" w:rsidP="00EF75CC"/>
    <w:p w14:paraId="14894533" w14:textId="77777777" w:rsidR="00BC2630" w:rsidRDefault="00BC2630" w:rsidP="00EF75CC"/>
    <w:p w14:paraId="6BB6C850" w14:textId="2D28E295" w:rsidR="00EF75CC" w:rsidRDefault="00EF75CC" w:rsidP="00EF75CC">
      <w:r w:rsidRPr="00EF75CC">
        <w:t xml:space="preserve">Evidencing the use of the PE and Sport Premium Funding: Action Plan and Impact Review </w:t>
      </w:r>
    </w:p>
    <w:p w14:paraId="64DB53C3" w14:textId="028FB471" w:rsidR="00EF75CC" w:rsidRDefault="00EF75CC" w:rsidP="00EF75CC">
      <w:r>
        <w:rPr>
          <w:noProof/>
        </w:rPr>
        <mc:AlternateContent>
          <mc:Choice Requires="wps">
            <w:drawing>
              <wp:anchor distT="0" distB="0" distL="114300" distR="114300" simplePos="0" relativeHeight="251659264" behindDoc="0" locked="0" layoutInCell="1" allowOverlap="1" wp14:anchorId="1E806542" wp14:editId="7A4F8628">
                <wp:simplePos x="0" y="0"/>
                <wp:positionH relativeFrom="column">
                  <wp:posOffset>16329</wp:posOffset>
                </wp:positionH>
                <wp:positionV relativeFrom="paragraph">
                  <wp:posOffset>189502</wp:posOffset>
                </wp:positionV>
                <wp:extent cx="8996680" cy="800100"/>
                <wp:effectExtent l="0" t="0" r="7620" b="12700"/>
                <wp:wrapNone/>
                <wp:docPr id="846761835" name="Rectangle 1"/>
                <wp:cNvGraphicFramePr/>
                <a:graphic xmlns:a="http://schemas.openxmlformats.org/drawingml/2006/main">
                  <a:graphicData uri="http://schemas.microsoft.com/office/word/2010/wordprocessingShape">
                    <wps:wsp>
                      <wps:cNvSpPr/>
                      <wps:spPr>
                        <a:xfrm>
                          <a:off x="0" y="0"/>
                          <a:ext cx="8996680" cy="8001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04E369" w14:textId="3AB68436" w:rsidR="00EF75CC" w:rsidRPr="00EF75CC" w:rsidRDefault="00EF75CC" w:rsidP="00EF75CC">
                            <w:pPr>
                              <w:jc w:val="center"/>
                              <w:rPr>
                                <w:b/>
                                <w:bCs/>
                                <w:color w:val="000000" w:themeColor="text1"/>
                              </w:rPr>
                            </w:pPr>
                            <w:r w:rsidRPr="00EF75CC">
                              <w:rPr>
                                <w:b/>
                                <w:bCs/>
                                <w:color w:val="000000" w:themeColor="text1"/>
                              </w:rPr>
                              <w:t>The DfE Vision for the Primary PE and Sport Premium ALL pupils leaving primary school physically literate and with the knowledge, skills, and motivation necessary to equip them for a healthy, active lifestyle and lifelong participation in physical activity and sport.</w:t>
                            </w:r>
                          </w:p>
                          <w:p w14:paraId="32DE3168" w14:textId="77777777" w:rsidR="00EF75CC" w:rsidRPr="00EF75CC" w:rsidRDefault="00EF75CC" w:rsidP="00EF75CC">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806542" id="Rectangle 1" o:spid="_x0000_s1026" style="position:absolute;margin-left:1.3pt;margin-top:14.9pt;width:708.4pt;height: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" fillcolor="#c1e4f5 [660]" strokecolor="#030e13 [484]" strokeweight="1pt">
                <v:textbox>
                  <w:txbxContent>
                    <w:p w14:paraId="3504E369" w14:textId="3AB68436" w:rsidR="00EF75CC" w:rsidRPr="00EF75CC" w:rsidRDefault="00EF75CC" w:rsidP="00EF75CC">
                      <w:pPr>
                        <w:jc w:val="center"/>
                        <w:rPr>
                          <w:b/>
                          <w:bCs/>
                          <w:color w:val="000000" w:themeColor="text1"/>
                        </w:rPr>
                      </w:pPr>
                      <w:r w:rsidRPr="00EF75CC">
                        <w:rPr>
                          <w:b/>
                          <w:bCs/>
                          <w:color w:val="000000" w:themeColor="text1"/>
                        </w:rPr>
                        <w:t>The DfE Vision for the Primary PE and Sport Premium ALL pupils leaving primary school physically literate and with the knowledge, skills, and motivation necessary to equip them for a healthy, active lifestyle and lifelong participation in physical activity and sport.</w:t>
                      </w:r>
                    </w:p>
                    <w:p w14:paraId="32DE3168" w14:textId="77777777" w:rsidR="00EF75CC" w:rsidRPr="00EF75CC" w:rsidRDefault="00EF75CC" w:rsidP="00EF75CC">
                      <w:pPr>
                        <w:jc w:val="center"/>
                        <w:rPr>
                          <w:b/>
                          <w:bCs/>
                          <w:color w:val="000000" w:themeColor="text1"/>
                        </w:rPr>
                      </w:pPr>
                    </w:p>
                  </w:txbxContent>
                </v:textbox>
              </v:rect>
            </w:pict>
          </mc:Fallback>
        </mc:AlternateContent>
      </w:r>
    </w:p>
    <w:p w14:paraId="4FF33BA9" w14:textId="598F4984" w:rsidR="00EF75CC" w:rsidRDefault="00EF75CC" w:rsidP="00EF75CC"/>
    <w:p w14:paraId="0201E643" w14:textId="515F60CF" w:rsidR="00EF75CC" w:rsidRDefault="00EF75CC" w:rsidP="00EF75CC"/>
    <w:p w14:paraId="68EA8A07" w14:textId="7FF2F40A" w:rsidR="00EF75CC" w:rsidRDefault="00EF75CC" w:rsidP="00EF75CC"/>
    <w:p w14:paraId="7E59FD80" w14:textId="5C13FBDB" w:rsidR="00EF75CC" w:rsidRDefault="00EF75CC" w:rsidP="00EF75CC"/>
    <w:p w14:paraId="3ADB0174" w14:textId="2E8E99E4" w:rsidR="00EF75CC" w:rsidRDefault="00EF75CC" w:rsidP="00EF75CC"/>
    <w:p w14:paraId="7C9CE8F8" w14:textId="77777777" w:rsidR="00EF75CC" w:rsidRDefault="00EF75CC" w:rsidP="00EF75CC">
      <w:r w:rsidRPr="00EF75CC">
        <w:t xml:space="preserve">The funding has been provided to schools to make additional and sustainable improvements to the quality of PE and sport they offer. This means that you should use the funding to: </w:t>
      </w:r>
    </w:p>
    <w:p w14:paraId="34F93FEE" w14:textId="77777777" w:rsidR="00EF75CC" w:rsidRDefault="00EF75CC" w:rsidP="00EF75CC">
      <w:r w:rsidRPr="00EF75CC">
        <w:t xml:space="preserve">• Develop or add to the PESSPA activities that your school already offer. </w:t>
      </w:r>
    </w:p>
    <w:p w14:paraId="48CB4612" w14:textId="77777777" w:rsidR="00EF75CC" w:rsidRDefault="00EF75CC" w:rsidP="00EF75CC">
      <w:r w:rsidRPr="00EF75CC">
        <w:t xml:space="preserve">• Build capacity and capability within the school to ensure that improvements made now, will benefit pupils joining the school in future years. </w:t>
      </w:r>
    </w:p>
    <w:p w14:paraId="335846D5" w14:textId="77777777" w:rsidR="00EF75CC" w:rsidRDefault="00EF75CC" w:rsidP="00EF75CC"/>
    <w:p w14:paraId="553AA106" w14:textId="77777777" w:rsidR="00EF75CC" w:rsidRDefault="00EF75CC" w:rsidP="00EF75CC">
      <w:r w:rsidRPr="00EF75CC">
        <w:t xml:space="preserve">Schools need to ensure impact against the following 5 key indicators: </w:t>
      </w:r>
    </w:p>
    <w:p w14:paraId="520DB381" w14:textId="77777777" w:rsidR="001D308B" w:rsidRDefault="001D308B" w:rsidP="00EF75CC"/>
    <w:tbl>
      <w:tblPr>
        <w:tblStyle w:val="TableGrid"/>
        <w:tblW w:w="0" w:type="auto"/>
        <w:tblLook w:val="04A0" w:firstRow="1" w:lastRow="0" w:firstColumn="1" w:lastColumn="0" w:noHBand="0" w:noVBand="1"/>
      </w:tblPr>
      <w:tblGrid>
        <w:gridCol w:w="4248"/>
        <w:gridCol w:w="2835"/>
        <w:gridCol w:w="2268"/>
        <w:gridCol w:w="2551"/>
        <w:gridCol w:w="2048"/>
      </w:tblGrid>
      <w:tr w:rsidR="006C61FD" w14:paraId="1D048663" w14:textId="53D5A672" w:rsidTr="006C61FD">
        <w:tc>
          <w:tcPr>
            <w:tcW w:w="4248" w:type="dxa"/>
            <w:shd w:val="clear" w:color="auto" w:fill="F2CEED" w:themeFill="accent5" w:themeFillTint="33"/>
          </w:tcPr>
          <w:p w14:paraId="48031317" w14:textId="77777777" w:rsidR="006C61FD" w:rsidRDefault="006C61FD" w:rsidP="001D308B">
            <w:r w:rsidRPr="00EF75CC">
              <w:t xml:space="preserve">1. The engagement of all pupils in regular physical activity - the Chief Medical Officer’s guidelines recommend that all children and young people aged 5 to 18 engage in at least 60 minutes of physical activity a day, of which 30 minutes should be in school. </w:t>
            </w:r>
          </w:p>
          <w:p w14:paraId="4BD60BB3" w14:textId="77777777" w:rsidR="006C61FD" w:rsidRDefault="006C61FD" w:rsidP="00EF75CC"/>
        </w:tc>
        <w:tc>
          <w:tcPr>
            <w:tcW w:w="2835" w:type="dxa"/>
            <w:shd w:val="clear" w:color="auto" w:fill="D9F2D0" w:themeFill="accent6" w:themeFillTint="33"/>
          </w:tcPr>
          <w:p w14:paraId="31D5BD20" w14:textId="77777777" w:rsidR="006C61FD" w:rsidRDefault="006C61FD" w:rsidP="001D308B">
            <w:r w:rsidRPr="00EF75CC">
              <w:t xml:space="preserve">2. The profile of PE, Sport and Physical Activity being raised across the school as a tool for whole school improvement. </w:t>
            </w:r>
          </w:p>
          <w:p w14:paraId="6D8BA5CB" w14:textId="77777777" w:rsidR="006C61FD" w:rsidRDefault="006C61FD" w:rsidP="00EF75CC"/>
        </w:tc>
        <w:tc>
          <w:tcPr>
            <w:tcW w:w="2268" w:type="dxa"/>
            <w:shd w:val="clear" w:color="auto" w:fill="FAE2D5" w:themeFill="accent2" w:themeFillTint="33"/>
          </w:tcPr>
          <w:p w14:paraId="5E33865D" w14:textId="77777777" w:rsidR="006C61FD" w:rsidRDefault="006C61FD" w:rsidP="001D308B">
            <w:r w:rsidRPr="00EF75CC">
              <w:t xml:space="preserve">3. Increased confidence, knowledge, and skills of all staff in teaching PE and Sport. </w:t>
            </w:r>
          </w:p>
          <w:p w14:paraId="21645FCC" w14:textId="77777777" w:rsidR="006C61FD" w:rsidRDefault="006C61FD" w:rsidP="00EF75CC"/>
        </w:tc>
        <w:tc>
          <w:tcPr>
            <w:tcW w:w="2551" w:type="dxa"/>
            <w:shd w:val="clear" w:color="auto" w:fill="EFE880"/>
          </w:tcPr>
          <w:p w14:paraId="08B742CF" w14:textId="02E5EB3D" w:rsidR="006C61FD" w:rsidRDefault="006C61FD" w:rsidP="001D308B">
            <w:r w:rsidRPr="00EF75CC">
              <w:t xml:space="preserve">4. Broader experience of a range of sports and activities offered to all pupils. </w:t>
            </w:r>
          </w:p>
          <w:p w14:paraId="22BBE31D" w14:textId="77777777" w:rsidR="006C61FD" w:rsidRDefault="006C61FD" w:rsidP="00EF75CC"/>
        </w:tc>
        <w:tc>
          <w:tcPr>
            <w:tcW w:w="2048" w:type="dxa"/>
            <w:shd w:val="clear" w:color="auto" w:fill="BFB3FF"/>
          </w:tcPr>
          <w:p w14:paraId="4DFD20F3" w14:textId="77777777" w:rsidR="006C61FD" w:rsidRDefault="006C61FD" w:rsidP="006C61FD">
            <w:r w:rsidRPr="00EF75CC">
              <w:t>5. Increased participation in competitive sport.</w:t>
            </w:r>
          </w:p>
          <w:p w14:paraId="465F383C" w14:textId="77777777" w:rsidR="006C61FD" w:rsidRPr="00EF75CC" w:rsidRDefault="006C61FD" w:rsidP="001D308B"/>
        </w:tc>
      </w:tr>
    </w:tbl>
    <w:p w14:paraId="7A88F0B2" w14:textId="77777777" w:rsidR="00EF75CC" w:rsidRDefault="00EF75CC" w:rsidP="00EF75CC"/>
    <w:p w14:paraId="51EB9F34" w14:textId="77777777" w:rsidR="001D308B" w:rsidRDefault="001D308B" w:rsidP="00EF75CC"/>
    <w:p w14:paraId="68BC8A1B" w14:textId="77777777" w:rsidR="001D308B" w:rsidRDefault="001D308B" w:rsidP="00EF75CC"/>
    <w:p w14:paraId="5F38C444" w14:textId="77777777" w:rsidR="00EF75CC" w:rsidRPr="00EF75CC" w:rsidRDefault="00EF75CC" w:rsidP="00EF75CC"/>
    <w:p w14:paraId="5B819FCB" w14:textId="768B66B2" w:rsidR="00EF75CC" w:rsidRDefault="00EF75CC" w:rsidP="00EF75CC">
      <w:pPr>
        <w:jc w:val="center"/>
        <w:rPr>
          <w:sz w:val="48"/>
          <w:szCs w:val="48"/>
        </w:rPr>
      </w:pPr>
      <w:r w:rsidRPr="00EF75CC">
        <w:rPr>
          <w:sz w:val="48"/>
          <w:szCs w:val="48"/>
        </w:rPr>
        <w:t>PE and Sport Premium Action Plan and Impact Review</w:t>
      </w:r>
    </w:p>
    <w:p w14:paraId="011DE534" w14:textId="77777777" w:rsidR="00EF75CC" w:rsidRPr="00EF75CC" w:rsidRDefault="00EF75CC" w:rsidP="00EF75CC">
      <w:pPr>
        <w:jc w:val="center"/>
        <w:rPr>
          <w:sz w:val="48"/>
          <w:szCs w:val="48"/>
        </w:rPr>
      </w:pPr>
    </w:p>
    <w:tbl>
      <w:tblPr>
        <w:tblStyle w:val="TableGrid"/>
        <w:tblW w:w="0" w:type="auto"/>
        <w:tblLook w:val="04A0" w:firstRow="1" w:lastRow="0" w:firstColumn="1" w:lastColumn="0" w:noHBand="0" w:noVBand="1"/>
      </w:tblPr>
      <w:tblGrid>
        <w:gridCol w:w="1561"/>
        <w:gridCol w:w="3356"/>
        <w:gridCol w:w="1792"/>
        <w:gridCol w:w="2617"/>
        <w:gridCol w:w="4624"/>
      </w:tblGrid>
      <w:tr w:rsidR="001D308B" w:rsidRPr="00EF75CC" w14:paraId="18B15A9D" w14:textId="23723840" w:rsidTr="004175EA">
        <w:tc>
          <w:tcPr>
            <w:tcW w:w="1483" w:type="dxa"/>
          </w:tcPr>
          <w:p w14:paraId="5AA84820" w14:textId="237BCA26" w:rsidR="001D308B" w:rsidRPr="00846361" w:rsidRDefault="001D308B" w:rsidP="00EF75CC">
            <w:pPr>
              <w:jc w:val="center"/>
              <w:rPr>
                <w:b/>
                <w:bCs/>
              </w:rPr>
            </w:pPr>
            <w:r w:rsidRPr="00846361">
              <w:rPr>
                <w:b/>
                <w:bCs/>
              </w:rPr>
              <w:t xml:space="preserve">Intent </w:t>
            </w:r>
          </w:p>
        </w:tc>
        <w:tc>
          <w:tcPr>
            <w:tcW w:w="3379" w:type="dxa"/>
          </w:tcPr>
          <w:p w14:paraId="04E3DAA8" w14:textId="18287A0B" w:rsidR="001D308B" w:rsidRPr="00EF75CC" w:rsidRDefault="001D308B" w:rsidP="00EF75CC">
            <w:pPr>
              <w:jc w:val="center"/>
              <w:rPr>
                <w:b/>
                <w:bCs/>
              </w:rPr>
            </w:pPr>
            <w:r>
              <w:rPr>
                <w:b/>
                <w:bCs/>
              </w:rPr>
              <w:t xml:space="preserve">Implementation </w:t>
            </w:r>
          </w:p>
        </w:tc>
        <w:tc>
          <w:tcPr>
            <w:tcW w:w="1796" w:type="dxa"/>
          </w:tcPr>
          <w:p w14:paraId="34480924" w14:textId="3401D6B6" w:rsidR="001D308B" w:rsidRPr="00EF75CC" w:rsidRDefault="001D308B" w:rsidP="00EF75CC">
            <w:pPr>
              <w:jc w:val="center"/>
              <w:rPr>
                <w:b/>
                <w:bCs/>
              </w:rPr>
            </w:pPr>
            <w:r>
              <w:rPr>
                <w:b/>
                <w:bCs/>
              </w:rPr>
              <w:t xml:space="preserve">Allocated Funding </w:t>
            </w:r>
          </w:p>
        </w:tc>
        <w:tc>
          <w:tcPr>
            <w:tcW w:w="2619" w:type="dxa"/>
          </w:tcPr>
          <w:p w14:paraId="4A938710" w14:textId="03DB6D41" w:rsidR="001D308B" w:rsidRPr="00EF75CC" w:rsidRDefault="001D308B" w:rsidP="00EF75CC">
            <w:pPr>
              <w:jc w:val="center"/>
              <w:rPr>
                <w:b/>
                <w:bCs/>
              </w:rPr>
            </w:pPr>
            <w:r>
              <w:rPr>
                <w:b/>
                <w:bCs/>
              </w:rPr>
              <w:t>Anticipated Outcomes</w:t>
            </w:r>
          </w:p>
        </w:tc>
        <w:tc>
          <w:tcPr>
            <w:tcW w:w="4673" w:type="dxa"/>
          </w:tcPr>
          <w:p w14:paraId="6FE4A618" w14:textId="78D35DF1" w:rsidR="001D308B" w:rsidRDefault="001D308B" w:rsidP="00EF75CC">
            <w:pPr>
              <w:jc w:val="center"/>
              <w:rPr>
                <w:b/>
                <w:bCs/>
              </w:rPr>
            </w:pPr>
            <w:r>
              <w:rPr>
                <w:b/>
                <w:bCs/>
              </w:rPr>
              <w:t>Key Indicator to be met</w:t>
            </w:r>
          </w:p>
        </w:tc>
      </w:tr>
      <w:tr w:rsidR="001D308B" w:rsidRPr="00EF75CC" w14:paraId="4DE860AE" w14:textId="31C4E56C" w:rsidTr="004175EA">
        <w:trPr>
          <w:trHeight w:val="2829"/>
        </w:trPr>
        <w:tc>
          <w:tcPr>
            <w:tcW w:w="1483" w:type="dxa"/>
            <w:vMerge w:val="restart"/>
          </w:tcPr>
          <w:p w14:paraId="66EDFECB" w14:textId="52545007" w:rsidR="001D308B" w:rsidRPr="00846361" w:rsidRDefault="001D308B" w:rsidP="00EF75CC">
            <w:pPr>
              <w:jc w:val="center"/>
              <w:rPr>
                <w:b/>
                <w:bCs/>
              </w:rPr>
            </w:pPr>
            <w:r w:rsidRPr="00846361">
              <w:rPr>
                <w:b/>
                <w:bCs/>
                <w:iCs/>
              </w:rPr>
              <w:t xml:space="preserve">Introduce more active lunchtime </w:t>
            </w:r>
            <w:r w:rsidRPr="00846361">
              <w:rPr>
                <w:b/>
                <w:bCs/>
                <w:iCs/>
                <w:spacing w:val="-2"/>
              </w:rPr>
              <w:t xml:space="preserve">activities </w:t>
            </w:r>
            <w:r w:rsidRPr="00846361">
              <w:rPr>
                <w:b/>
                <w:bCs/>
                <w:iCs/>
              </w:rPr>
              <w:t>for pupils.</w:t>
            </w:r>
          </w:p>
        </w:tc>
        <w:tc>
          <w:tcPr>
            <w:tcW w:w="3379" w:type="dxa"/>
            <w:vMerge w:val="restart"/>
          </w:tcPr>
          <w:p w14:paraId="53548FB5" w14:textId="666EDB84" w:rsidR="001D308B" w:rsidRPr="006C61FD" w:rsidRDefault="001D308B" w:rsidP="006C61FD">
            <w:r w:rsidRPr="006C61FD">
              <w:t>- Purchase and rotate age-appropriate play equipment.</w:t>
            </w:r>
            <w:r w:rsidRPr="006C61FD">
              <w:br/>
              <w:t>- Introduce pupil-led “Play Leaders” to lead games for younger peers.</w:t>
            </w:r>
            <w:r w:rsidRPr="006C61FD">
              <w:br/>
              <w:t xml:space="preserve">- Designate active zones on the </w:t>
            </w:r>
            <w:r w:rsidR="00801AD2">
              <w:t>school site (playground / field / forest school / quiet reflection areas)</w:t>
            </w:r>
          </w:p>
        </w:tc>
        <w:tc>
          <w:tcPr>
            <w:tcW w:w="1796" w:type="dxa"/>
            <w:vMerge w:val="restart"/>
          </w:tcPr>
          <w:p w14:paraId="1DDFF2A9" w14:textId="341BA60E" w:rsidR="001F5635" w:rsidRDefault="00801AD2" w:rsidP="006C61FD">
            <w:r>
              <w:t>£1000 equipment</w:t>
            </w:r>
            <w:r w:rsidR="001F5635">
              <w:t xml:space="preserve"> dedicated to break times</w:t>
            </w:r>
          </w:p>
          <w:p w14:paraId="525BCC18" w14:textId="77777777" w:rsidR="00801AD2" w:rsidRDefault="00801AD2" w:rsidP="006C61FD"/>
          <w:p w14:paraId="52790A11" w14:textId="77777777" w:rsidR="001F5635" w:rsidRDefault="001F5635" w:rsidP="006C61FD">
            <w:r>
              <w:t xml:space="preserve">£800 </w:t>
            </w:r>
          </w:p>
          <w:p w14:paraId="7B78E151" w14:textId="00B247CC" w:rsidR="00801AD2" w:rsidRDefault="00801AD2" w:rsidP="006C61FD">
            <w:r>
              <w:t>4 x £200 class welly storage</w:t>
            </w:r>
          </w:p>
          <w:p w14:paraId="554C1014" w14:textId="77777777" w:rsidR="001F5635" w:rsidRDefault="001F5635" w:rsidP="006C61FD"/>
          <w:p w14:paraId="5C127126" w14:textId="5AE3ACD6" w:rsidR="001F5635" w:rsidRDefault="001F5635" w:rsidP="006C61FD">
            <w:r>
              <w:t xml:space="preserve">Site development (fencing around quiet zone) </w:t>
            </w:r>
          </w:p>
          <w:p w14:paraId="39CC9CDC" w14:textId="77777777" w:rsidR="00801AD2" w:rsidRDefault="00801AD2" w:rsidP="006C61FD"/>
          <w:p w14:paraId="6E19E40C" w14:textId="58260B6D" w:rsidR="00801AD2" w:rsidRPr="006C61FD" w:rsidRDefault="00801AD2" w:rsidP="006C61FD"/>
        </w:tc>
        <w:tc>
          <w:tcPr>
            <w:tcW w:w="2619" w:type="dxa"/>
            <w:vMerge w:val="restart"/>
          </w:tcPr>
          <w:p w14:paraId="724EA3A2" w14:textId="50A101AC" w:rsidR="001D308B" w:rsidRPr="006C61FD" w:rsidRDefault="001D308B" w:rsidP="006C61FD">
            <w:r w:rsidRPr="006C61FD">
              <w:t>- Increase in children achieving 30 minutes of daily physical activity in school.</w:t>
            </w:r>
            <w:r w:rsidRPr="006C61FD">
              <w:br/>
              <w:t>- Improved behaviour and focus in afternoon lessons.</w:t>
            </w:r>
            <w:r w:rsidRPr="006C61FD">
              <w:br/>
              <w:t>- Pupils develop leadership and teamwork skills.</w:t>
            </w:r>
            <w:r w:rsidRPr="006C61FD">
              <w:br/>
              <w:t>- Greater engagement of less-active pupils.</w:t>
            </w:r>
            <w:r w:rsidRPr="006C61FD">
              <w:br/>
              <w:t>- Inclusive opportunities for all children to be active.</w:t>
            </w:r>
          </w:p>
        </w:tc>
        <w:tc>
          <w:tcPr>
            <w:tcW w:w="4673" w:type="dxa"/>
            <w:shd w:val="clear" w:color="auto" w:fill="F2CEED" w:themeFill="accent5" w:themeFillTint="33"/>
          </w:tcPr>
          <w:p w14:paraId="7A503E56" w14:textId="21F4F8CE" w:rsidR="001D308B" w:rsidRPr="006C61FD" w:rsidRDefault="001D308B" w:rsidP="006C61FD">
            <w:r w:rsidRPr="006C61FD">
              <w:t>Key Indicator 1 – The engagement of all pupils in regular physical activity:</w:t>
            </w:r>
            <w:r w:rsidRPr="006C61FD">
              <w:br/>
              <w:t>By offering structured and inclusive opportunities during breaktimes, children are more active throughout the day.</w:t>
            </w:r>
          </w:p>
          <w:p w14:paraId="531DD63F" w14:textId="77777777" w:rsidR="001D308B" w:rsidRPr="006C61FD" w:rsidRDefault="001D308B" w:rsidP="006C61FD"/>
          <w:p w14:paraId="69A24011" w14:textId="77777777" w:rsidR="001D308B" w:rsidRPr="006C61FD" w:rsidRDefault="001D308B" w:rsidP="006C61FD">
            <w:pPr>
              <w:ind w:firstLine="720"/>
            </w:pPr>
          </w:p>
        </w:tc>
      </w:tr>
      <w:tr w:rsidR="001D308B" w:rsidRPr="00EF75CC" w14:paraId="6DDE6EAD" w14:textId="77777777" w:rsidTr="004175EA">
        <w:trPr>
          <w:trHeight w:val="2828"/>
        </w:trPr>
        <w:tc>
          <w:tcPr>
            <w:tcW w:w="1483" w:type="dxa"/>
            <w:vMerge/>
          </w:tcPr>
          <w:p w14:paraId="226BC6FB" w14:textId="77777777" w:rsidR="001D308B" w:rsidRPr="00477FE0" w:rsidRDefault="001D308B" w:rsidP="00EF75CC">
            <w:pPr>
              <w:jc w:val="center"/>
              <w:rPr>
                <w:iCs/>
              </w:rPr>
            </w:pPr>
          </w:p>
        </w:tc>
        <w:tc>
          <w:tcPr>
            <w:tcW w:w="3379" w:type="dxa"/>
            <w:vMerge/>
          </w:tcPr>
          <w:p w14:paraId="1BBD5464" w14:textId="77777777" w:rsidR="001D308B" w:rsidRPr="006C61FD" w:rsidRDefault="001D308B" w:rsidP="006C61FD"/>
        </w:tc>
        <w:tc>
          <w:tcPr>
            <w:tcW w:w="1796" w:type="dxa"/>
            <w:vMerge/>
          </w:tcPr>
          <w:p w14:paraId="495B4590" w14:textId="77777777" w:rsidR="001D308B" w:rsidRPr="006C61FD" w:rsidRDefault="001D308B" w:rsidP="006C61FD"/>
        </w:tc>
        <w:tc>
          <w:tcPr>
            <w:tcW w:w="2619" w:type="dxa"/>
            <w:vMerge/>
          </w:tcPr>
          <w:p w14:paraId="4D8878DB" w14:textId="77777777" w:rsidR="001D308B" w:rsidRPr="006C61FD" w:rsidRDefault="001D308B" w:rsidP="006C61FD"/>
        </w:tc>
        <w:tc>
          <w:tcPr>
            <w:tcW w:w="4673" w:type="dxa"/>
            <w:shd w:val="clear" w:color="auto" w:fill="D9F2D0" w:themeFill="accent6" w:themeFillTint="33"/>
          </w:tcPr>
          <w:p w14:paraId="079157B5" w14:textId="510C7D2A" w:rsidR="001D308B" w:rsidRPr="006C61FD" w:rsidRDefault="001D308B" w:rsidP="006C61FD">
            <w:r w:rsidRPr="006C61FD">
              <w:t>Key Indicator 2 – The profile of PE and sport is raised across the school:</w:t>
            </w:r>
            <w:r w:rsidRPr="006C61FD">
              <w:br/>
              <w:t>Having designated zones and pupil play leaders embeds physical activity into daily school life and builds a culture of being active.</w:t>
            </w:r>
          </w:p>
        </w:tc>
      </w:tr>
      <w:tr w:rsidR="006C61FD" w:rsidRPr="00EF75CC" w14:paraId="1FB95403" w14:textId="1080B23B" w:rsidTr="004175EA">
        <w:trPr>
          <w:trHeight w:val="1385"/>
        </w:trPr>
        <w:tc>
          <w:tcPr>
            <w:tcW w:w="1483" w:type="dxa"/>
            <w:vMerge w:val="restart"/>
          </w:tcPr>
          <w:p w14:paraId="66D1E387" w14:textId="78CB6FF6" w:rsidR="006C61FD" w:rsidRPr="00846361" w:rsidRDefault="006C61FD" w:rsidP="00EF75CC">
            <w:pPr>
              <w:jc w:val="center"/>
              <w:rPr>
                <w:b/>
                <w:bCs/>
              </w:rPr>
            </w:pPr>
            <w:r w:rsidRPr="00846361">
              <w:rPr>
                <w:b/>
                <w:bCs/>
                <w:iCs/>
              </w:rPr>
              <w:lastRenderedPageBreak/>
              <w:t>Sports Premium Champion to organise and events, CPD, specialist services, before and after school clubs</w:t>
            </w:r>
          </w:p>
        </w:tc>
        <w:tc>
          <w:tcPr>
            <w:tcW w:w="3379" w:type="dxa"/>
            <w:vMerge w:val="restart"/>
          </w:tcPr>
          <w:p w14:paraId="1D129699" w14:textId="43CF71C0" w:rsidR="006C61FD" w:rsidRPr="006C61FD" w:rsidRDefault="006C61FD" w:rsidP="006C61FD">
            <w:r w:rsidRPr="006C61FD">
              <w:t>- Staff member to organise termly school competitions, manage club timetables, and support staff CPD uptake.</w:t>
            </w:r>
            <w:r w:rsidRPr="006C61FD">
              <w:br/>
              <w:t>- Monitor and track pupil participation, with a focus on inclusion.</w:t>
            </w:r>
          </w:p>
        </w:tc>
        <w:tc>
          <w:tcPr>
            <w:tcW w:w="1796" w:type="dxa"/>
            <w:vMerge w:val="restart"/>
          </w:tcPr>
          <w:p w14:paraId="597672F7" w14:textId="54A45F87" w:rsidR="00C173E7" w:rsidRDefault="00C173E7" w:rsidP="006C61FD">
            <w:r>
              <w:t xml:space="preserve">£2800 </w:t>
            </w:r>
          </w:p>
          <w:p w14:paraId="6F2FD74F" w14:textId="1963D342" w:rsidR="00C173E7" w:rsidRDefault="00C173E7" w:rsidP="006C61FD">
            <w:r>
              <w:t>(£280 supply costs per day for M6)</w:t>
            </w:r>
          </w:p>
          <w:p w14:paraId="2646601C" w14:textId="53DAD335" w:rsidR="001F5635" w:rsidRDefault="001F5635" w:rsidP="006C61FD">
            <w:r>
              <w:t xml:space="preserve">For dedicated planning time for sports premium champion </w:t>
            </w:r>
          </w:p>
          <w:p w14:paraId="15F21143" w14:textId="77777777" w:rsidR="00C173E7" w:rsidRDefault="00C173E7" w:rsidP="006C61FD"/>
          <w:p w14:paraId="6D283C47" w14:textId="2BA601D9" w:rsidR="00C173E7" w:rsidRPr="006C61FD" w:rsidRDefault="00C173E7" w:rsidP="006C61FD">
            <w:r>
              <w:t xml:space="preserve"> </w:t>
            </w:r>
          </w:p>
        </w:tc>
        <w:tc>
          <w:tcPr>
            <w:tcW w:w="2619" w:type="dxa"/>
            <w:vMerge w:val="restart"/>
          </w:tcPr>
          <w:p w14:paraId="3B9D61AF" w14:textId="703208F5" w:rsidR="006C61FD" w:rsidRPr="006C61FD" w:rsidRDefault="006C61FD" w:rsidP="006C61FD">
            <w:r w:rsidRPr="006C61FD">
              <w:t>- Increased uptake of before and after school activities.</w:t>
            </w:r>
            <w:r w:rsidRPr="006C61FD">
              <w:br/>
              <w:t>- Clear strategic leadership of sport premium spend.</w:t>
            </w:r>
            <w:r w:rsidRPr="006C61FD">
              <w:br/>
              <w:t>- Better engagement of all pupil groups, including disadvantaged/SEND.</w:t>
            </w:r>
          </w:p>
        </w:tc>
        <w:tc>
          <w:tcPr>
            <w:tcW w:w="4673" w:type="dxa"/>
            <w:shd w:val="clear" w:color="auto" w:fill="D9F2D0" w:themeFill="accent6" w:themeFillTint="33"/>
          </w:tcPr>
          <w:p w14:paraId="3442440C" w14:textId="337B9DDA" w:rsidR="006C61FD" w:rsidRPr="006C61FD" w:rsidRDefault="006C61FD" w:rsidP="006C61FD">
            <w:r w:rsidRPr="006C61FD">
              <w:t>Key Indicator 2 – Raising the profile of PE and sport across the school as a tool for whole-school improvement:</w:t>
            </w:r>
            <w:r w:rsidRPr="006C61FD">
              <w:br/>
              <w:t>The Champion role ensures PE and sport is visible, consistent and strategically developed.</w:t>
            </w:r>
          </w:p>
        </w:tc>
      </w:tr>
      <w:tr w:rsidR="006C61FD" w:rsidRPr="00EF75CC" w14:paraId="3F3DC68D" w14:textId="77777777" w:rsidTr="004175EA">
        <w:trPr>
          <w:trHeight w:val="1385"/>
        </w:trPr>
        <w:tc>
          <w:tcPr>
            <w:tcW w:w="1483" w:type="dxa"/>
            <w:vMerge/>
          </w:tcPr>
          <w:p w14:paraId="1C28D22C" w14:textId="77777777" w:rsidR="006C61FD" w:rsidRPr="00846361" w:rsidRDefault="006C61FD" w:rsidP="00EF75CC">
            <w:pPr>
              <w:jc w:val="center"/>
              <w:rPr>
                <w:b/>
                <w:bCs/>
                <w:iCs/>
              </w:rPr>
            </w:pPr>
          </w:p>
        </w:tc>
        <w:tc>
          <w:tcPr>
            <w:tcW w:w="3379" w:type="dxa"/>
            <w:vMerge/>
          </w:tcPr>
          <w:p w14:paraId="6513A1BF" w14:textId="77777777" w:rsidR="006C61FD" w:rsidRPr="006C61FD" w:rsidRDefault="006C61FD" w:rsidP="006C61FD"/>
        </w:tc>
        <w:tc>
          <w:tcPr>
            <w:tcW w:w="1796" w:type="dxa"/>
            <w:vMerge/>
          </w:tcPr>
          <w:p w14:paraId="3D310C55" w14:textId="77777777" w:rsidR="006C61FD" w:rsidRPr="006C61FD" w:rsidRDefault="006C61FD" w:rsidP="006C61FD"/>
        </w:tc>
        <w:tc>
          <w:tcPr>
            <w:tcW w:w="2619" w:type="dxa"/>
            <w:vMerge/>
          </w:tcPr>
          <w:p w14:paraId="1DB2DA98" w14:textId="77777777" w:rsidR="006C61FD" w:rsidRPr="006C61FD" w:rsidRDefault="006C61FD" w:rsidP="006C61FD"/>
        </w:tc>
        <w:tc>
          <w:tcPr>
            <w:tcW w:w="4673" w:type="dxa"/>
            <w:shd w:val="clear" w:color="auto" w:fill="EFE880"/>
          </w:tcPr>
          <w:p w14:paraId="19B60F2A" w14:textId="77777777" w:rsidR="006C61FD" w:rsidRPr="006C61FD" w:rsidRDefault="006C61FD" w:rsidP="006C61FD">
            <w:r w:rsidRPr="006C61FD">
              <w:t>Key Indicator 4 – Broader experience of a range of sports and activities offered to all pupils:</w:t>
            </w:r>
            <w:r w:rsidRPr="006C61FD">
              <w:br/>
              <w:t>Through clubs and external providers, children can access a wide variety of sports not typically offered.</w:t>
            </w:r>
          </w:p>
          <w:p w14:paraId="7178B828" w14:textId="77777777" w:rsidR="006C61FD" w:rsidRPr="006C61FD" w:rsidRDefault="006C61FD" w:rsidP="006C61FD"/>
        </w:tc>
      </w:tr>
      <w:tr w:rsidR="006C61FD" w:rsidRPr="00EF75CC" w14:paraId="542C4C0A" w14:textId="77777777" w:rsidTr="004175EA">
        <w:trPr>
          <w:trHeight w:val="1385"/>
        </w:trPr>
        <w:tc>
          <w:tcPr>
            <w:tcW w:w="1483" w:type="dxa"/>
            <w:vMerge/>
          </w:tcPr>
          <w:p w14:paraId="3FF6D7FA" w14:textId="77777777" w:rsidR="006C61FD" w:rsidRPr="00846361" w:rsidRDefault="006C61FD" w:rsidP="00EF75CC">
            <w:pPr>
              <w:jc w:val="center"/>
              <w:rPr>
                <w:b/>
                <w:bCs/>
                <w:iCs/>
              </w:rPr>
            </w:pPr>
          </w:p>
        </w:tc>
        <w:tc>
          <w:tcPr>
            <w:tcW w:w="3379" w:type="dxa"/>
            <w:vMerge/>
          </w:tcPr>
          <w:p w14:paraId="7BC879F8" w14:textId="77777777" w:rsidR="006C61FD" w:rsidRPr="006C61FD" w:rsidRDefault="006C61FD" w:rsidP="006C61FD"/>
        </w:tc>
        <w:tc>
          <w:tcPr>
            <w:tcW w:w="1796" w:type="dxa"/>
            <w:vMerge/>
          </w:tcPr>
          <w:p w14:paraId="54FC0B5D" w14:textId="77777777" w:rsidR="006C61FD" w:rsidRPr="006C61FD" w:rsidRDefault="006C61FD" w:rsidP="006C61FD"/>
        </w:tc>
        <w:tc>
          <w:tcPr>
            <w:tcW w:w="2619" w:type="dxa"/>
            <w:vMerge/>
          </w:tcPr>
          <w:p w14:paraId="644CDAC1" w14:textId="77777777" w:rsidR="006C61FD" w:rsidRPr="006C61FD" w:rsidRDefault="006C61FD" w:rsidP="006C61FD"/>
        </w:tc>
        <w:tc>
          <w:tcPr>
            <w:tcW w:w="4673" w:type="dxa"/>
            <w:shd w:val="clear" w:color="auto" w:fill="BFB3FF"/>
          </w:tcPr>
          <w:p w14:paraId="7371147F" w14:textId="4528193A" w:rsidR="006C61FD" w:rsidRPr="006C61FD" w:rsidRDefault="006C61FD" w:rsidP="006C61FD">
            <w:r w:rsidRPr="006C61FD">
              <w:t>Key Indicator 5 – Increased participation in competitive sport:</w:t>
            </w:r>
            <w:r w:rsidRPr="006C61FD">
              <w:br/>
              <w:t>Having someone coordinate events leads to greater opportunities for pupils to compete regularly.</w:t>
            </w:r>
          </w:p>
        </w:tc>
      </w:tr>
      <w:tr w:rsidR="006C61FD" w:rsidRPr="00EF75CC" w14:paraId="7831CAA5" w14:textId="6D394631" w:rsidTr="004175EA">
        <w:trPr>
          <w:trHeight w:val="2760"/>
        </w:trPr>
        <w:tc>
          <w:tcPr>
            <w:tcW w:w="1483" w:type="dxa"/>
            <w:vMerge w:val="restart"/>
          </w:tcPr>
          <w:p w14:paraId="23D8BDF9" w14:textId="3246CB97" w:rsidR="006C61FD" w:rsidRPr="00846361" w:rsidRDefault="006C61FD" w:rsidP="00EF75CC">
            <w:pPr>
              <w:jc w:val="center"/>
              <w:rPr>
                <w:b/>
                <w:bCs/>
              </w:rPr>
            </w:pPr>
            <w:r w:rsidRPr="00846361">
              <w:rPr>
                <w:b/>
                <w:bCs/>
              </w:rPr>
              <w:t>Competitive sport events</w:t>
            </w:r>
          </w:p>
        </w:tc>
        <w:tc>
          <w:tcPr>
            <w:tcW w:w="3379" w:type="dxa"/>
            <w:vMerge w:val="restart"/>
          </w:tcPr>
          <w:p w14:paraId="4CFCCCDA" w14:textId="7DBC16C1" w:rsidR="006C61FD" w:rsidRPr="006C61FD" w:rsidRDefault="006C61FD" w:rsidP="006C61FD">
            <w:r w:rsidRPr="006C61FD">
              <w:t>- Enter more School Games, local leagues and sports festivals.</w:t>
            </w:r>
            <w:r w:rsidRPr="006C61FD">
              <w:br/>
              <w:t>- Organise half-termly house competitions and inter-class challenges.</w:t>
            </w:r>
            <w:r w:rsidRPr="006C61FD">
              <w:br/>
              <w:t>- Provide transport for teams to attend events.</w:t>
            </w:r>
            <w:r w:rsidRPr="006C61FD">
              <w:br/>
              <w:t xml:space="preserve">- Celebrate sporting </w:t>
            </w:r>
            <w:r w:rsidRPr="006C61FD">
              <w:lastRenderedPageBreak/>
              <w:t>achievements in assemblies and newsletters.</w:t>
            </w:r>
          </w:p>
        </w:tc>
        <w:tc>
          <w:tcPr>
            <w:tcW w:w="1796" w:type="dxa"/>
            <w:vMerge w:val="restart"/>
          </w:tcPr>
          <w:p w14:paraId="4A62C9C7" w14:textId="4C630078" w:rsidR="006C61FD" w:rsidRDefault="00085676" w:rsidP="006C61FD">
            <w:r>
              <w:lastRenderedPageBreak/>
              <w:t xml:space="preserve">£250 Sevenoaks Sport Partnership </w:t>
            </w:r>
            <w:r w:rsidR="00276042">
              <w:t>membership</w:t>
            </w:r>
          </w:p>
          <w:p w14:paraId="15E200C5" w14:textId="77777777" w:rsidR="00BC2630" w:rsidRDefault="00BC2630" w:rsidP="006C61FD"/>
          <w:p w14:paraId="3E75F442" w14:textId="77777777" w:rsidR="00BC2630" w:rsidRDefault="00BC2630" w:rsidP="00BC2630">
            <w:r>
              <w:t xml:space="preserve">£5600 Equivalent to 20 days cover </w:t>
            </w:r>
            <w:r>
              <w:lastRenderedPageBreak/>
              <w:t xml:space="preserve">(£280 supply costs per day for M6) to release staff to attend events during the school day </w:t>
            </w:r>
          </w:p>
          <w:p w14:paraId="4A551E3D" w14:textId="77777777" w:rsidR="00BC2630" w:rsidRDefault="00BC2630" w:rsidP="006C61FD"/>
          <w:p w14:paraId="194BA768" w14:textId="2888DE30" w:rsidR="00085676" w:rsidRPr="006C61FD" w:rsidRDefault="00085676" w:rsidP="006C61FD"/>
        </w:tc>
        <w:tc>
          <w:tcPr>
            <w:tcW w:w="2619" w:type="dxa"/>
            <w:vMerge w:val="restart"/>
          </w:tcPr>
          <w:p w14:paraId="139441E7" w14:textId="77777777" w:rsidR="006C61FD" w:rsidRDefault="006C61FD" w:rsidP="006C61FD">
            <w:r w:rsidRPr="006C61FD">
              <w:lastRenderedPageBreak/>
              <w:t>- Pupils have more regular access to competitive sport opportunities.</w:t>
            </w:r>
            <w:r w:rsidRPr="006C61FD">
              <w:br/>
              <w:t>- Improved teamwork, resilience and confidence among pupils.</w:t>
            </w:r>
            <w:r w:rsidRPr="006C61FD">
              <w:br/>
              <w:t xml:space="preserve">- Greater sense of </w:t>
            </w:r>
            <w:r w:rsidRPr="006C61FD">
              <w:lastRenderedPageBreak/>
              <w:t>school pride and sportsmanship.</w:t>
            </w:r>
            <w:r w:rsidRPr="006C61FD">
              <w:br/>
              <w:t>- Increased representation of different pupil groups.</w:t>
            </w:r>
          </w:p>
          <w:p w14:paraId="0661FCF4" w14:textId="4AE28FA1" w:rsidR="00085676" w:rsidRPr="006C61FD" w:rsidRDefault="00085676" w:rsidP="006C61FD">
            <w:r>
              <w:t xml:space="preserve">- Teachers have access to </w:t>
            </w:r>
            <w:proofErr w:type="spellStart"/>
            <w:r>
              <w:t>AfPE</w:t>
            </w:r>
            <w:proofErr w:type="spellEnd"/>
          </w:p>
        </w:tc>
        <w:tc>
          <w:tcPr>
            <w:tcW w:w="4673" w:type="dxa"/>
            <w:shd w:val="clear" w:color="auto" w:fill="D9F2D0" w:themeFill="accent6" w:themeFillTint="33"/>
          </w:tcPr>
          <w:p w14:paraId="4946AABB" w14:textId="7B184C91" w:rsidR="006C61FD" w:rsidRPr="006C61FD" w:rsidRDefault="006C61FD" w:rsidP="006C61FD">
            <w:r w:rsidRPr="006C61FD">
              <w:lastRenderedPageBreak/>
              <w:t>Key Indicator 2 – Raising the profile of PE and sport:</w:t>
            </w:r>
            <w:r w:rsidRPr="006C61FD">
              <w:br/>
              <w:t>Celebrating sporting success helps promote a whole-school appreciation for physical activity and competition.</w:t>
            </w:r>
          </w:p>
        </w:tc>
      </w:tr>
      <w:tr w:rsidR="006C61FD" w:rsidRPr="00EF75CC" w14:paraId="379FA615" w14:textId="77777777" w:rsidTr="004175EA">
        <w:trPr>
          <w:trHeight w:val="2760"/>
        </w:trPr>
        <w:tc>
          <w:tcPr>
            <w:tcW w:w="1483" w:type="dxa"/>
            <w:vMerge/>
          </w:tcPr>
          <w:p w14:paraId="113AA931" w14:textId="77777777" w:rsidR="006C61FD" w:rsidRDefault="006C61FD" w:rsidP="00EF75CC">
            <w:pPr>
              <w:jc w:val="center"/>
            </w:pPr>
          </w:p>
        </w:tc>
        <w:tc>
          <w:tcPr>
            <w:tcW w:w="3379" w:type="dxa"/>
            <w:vMerge/>
          </w:tcPr>
          <w:p w14:paraId="12796FC1" w14:textId="77777777" w:rsidR="006C61FD" w:rsidRPr="006C61FD" w:rsidRDefault="006C61FD" w:rsidP="006C61FD"/>
        </w:tc>
        <w:tc>
          <w:tcPr>
            <w:tcW w:w="1796" w:type="dxa"/>
            <w:vMerge/>
          </w:tcPr>
          <w:p w14:paraId="57C1065E" w14:textId="77777777" w:rsidR="006C61FD" w:rsidRPr="006C61FD" w:rsidRDefault="006C61FD" w:rsidP="006C61FD"/>
        </w:tc>
        <w:tc>
          <w:tcPr>
            <w:tcW w:w="2619" w:type="dxa"/>
            <w:vMerge/>
          </w:tcPr>
          <w:p w14:paraId="231E3A63" w14:textId="77777777" w:rsidR="006C61FD" w:rsidRPr="006C61FD" w:rsidRDefault="006C61FD" w:rsidP="006C61FD"/>
        </w:tc>
        <w:tc>
          <w:tcPr>
            <w:tcW w:w="4673" w:type="dxa"/>
            <w:shd w:val="clear" w:color="auto" w:fill="BFB3FF"/>
          </w:tcPr>
          <w:p w14:paraId="59B2B391" w14:textId="478F8FCE" w:rsidR="006C61FD" w:rsidRPr="006C61FD" w:rsidRDefault="006C61FD" w:rsidP="006C61FD">
            <w:r w:rsidRPr="006C61FD">
              <w:t>Key Indicator 5 – Increased participation in competitive sport:</w:t>
            </w:r>
            <w:r w:rsidRPr="006C61FD">
              <w:br/>
              <w:t>More pupils experience inter- and intra-school competition, supporting character development and teamwork.</w:t>
            </w:r>
          </w:p>
        </w:tc>
      </w:tr>
      <w:tr w:rsidR="0041404F" w:rsidRPr="00EF75CC" w14:paraId="28D6E4D0" w14:textId="3710952F" w:rsidTr="004175EA">
        <w:tc>
          <w:tcPr>
            <w:tcW w:w="1483" w:type="dxa"/>
          </w:tcPr>
          <w:p w14:paraId="29380A03" w14:textId="52C92D2E" w:rsidR="001D308B" w:rsidRPr="00846361" w:rsidRDefault="001D308B" w:rsidP="00EF75CC">
            <w:pPr>
              <w:jc w:val="center"/>
              <w:rPr>
                <w:b/>
                <w:bCs/>
              </w:rPr>
            </w:pPr>
            <w:r w:rsidRPr="00846361">
              <w:rPr>
                <w:b/>
                <w:bCs/>
                <w:iCs/>
              </w:rPr>
              <w:t>CPD</w:t>
            </w:r>
            <w:r w:rsidRPr="00846361">
              <w:rPr>
                <w:b/>
                <w:bCs/>
                <w:iCs/>
                <w:spacing w:val="-16"/>
              </w:rPr>
              <w:t xml:space="preserve"> </w:t>
            </w:r>
            <w:r w:rsidRPr="00846361">
              <w:rPr>
                <w:b/>
                <w:bCs/>
                <w:iCs/>
              </w:rPr>
              <w:t xml:space="preserve">for </w:t>
            </w:r>
            <w:r w:rsidRPr="00846361">
              <w:rPr>
                <w:b/>
                <w:bCs/>
                <w:iCs/>
                <w:spacing w:val="-2"/>
              </w:rPr>
              <w:t>teachers.</w:t>
            </w:r>
          </w:p>
        </w:tc>
        <w:tc>
          <w:tcPr>
            <w:tcW w:w="33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C61FD" w:rsidRPr="006C61FD" w14:paraId="1EA1D45B" w14:textId="77777777" w:rsidTr="006C61FD">
              <w:trPr>
                <w:tblCellSpacing w:w="15" w:type="dxa"/>
              </w:trPr>
              <w:tc>
                <w:tcPr>
                  <w:tcW w:w="0" w:type="auto"/>
                  <w:vAlign w:val="center"/>
                  <w:hideMark/>
                </w:tcPr>
                <w:p w14:paraId="5849B496" w14:textId="77777777" w:rsidR="006C61FD" w:rsidRPr="006C61FD" w:rsidRDefault="006C61FD" w:rsidP="006C61FD">
                  <w:pPr>
                    <w:ind w:firstLine="720"/>
                  </w:pPr>
                </w:p>
              </w:tc>
            </w:tr>
          </w:tbl>
          <w:p w14:paraId="415C762F" w14:textId="77777777" w:rsidR="006C61FD" w:rsidRPr="006C61FD" w:rsidRDefault="006C61FD" w:rsidP="006C61FD">
            <w:pPr>
              <w:ind w:firstLine="72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0"/>
            </w:tblGrid>
            <w:tr w:rsidR="006C61FD" w:rsidRPr="006C61FD" w14:paraId="02E46919" w14:textId="77777777" w:rsidTr="006C61FD">
              <w:trPr>
                <w:tblCellSpacing w:w="15" w:type="dxa"/>
              </w:trPr>
              <w:tc>
                <w:tcPr>
                  <w:tcW w:w="0" w:type="auto"/>
                  <w:vAlign w:val="center"/>
                  <w:hideMark/>
                </w:tcPr>
                <w:p w14:paraId="132EBBB9" w14:textId="6CB7DB77" w:rsidR="006C61FD" w:rsidRPr="006C61FD" w:rsidRDefault="006C61FD" w:rsidP="006C61FD">
                  <w:r w:rsidRPr="006C61FD">
                    <w:t>- Audit staff confidence in PE teaching.</w:t>
                  </w:r>
                  <w:r w:rsidRPr="006C61FD">
                    <w:br/>
                    <w:t>- Bring in specialist coaches to work alongside staff in lessons (team-teaching).</w:t>
                  </w:r>
                  <w:r w:rsidRPr="006C61FD">
                    <w:br/>
                    <w:t>- Invest in high-quality PE planning tools</w:t>
                  </w:r>
                  <w:r w:rsidRPr="00020F2D">
                    <w:t xml:space="preserve"> (</w:t>
                  </w:r>
                  <w:proofErr w:type="spellStart"/>
                  <w:r w:rsidRPr="00020F2D">
                    <w:t>AfPE</w:t>
                  </w:r>
                  <w:proofErr w:type="spellEnd"/>
                  <w:r w:rsidRPr="00020F2D">
                    <w:t>)</w:t>
                  </w:r>
                  <w:r w:rsidRPr="006C61FD">
                    <w:t>.</w:t>
                  </w:r>
                  <w:r w:rsidRPr="006C61FD">
                    <w:br/>
                    <w:t>- Run in-house twilight CPD focused on inclusive practice and assessment in PE.</w:t>
                  </w:r>
                </w:p>
              </w:tc>
            </w:tr>
          </w:tbl>
          <w:p w14:paraId="65E4E87C" w14:textId="77777777" w:rsidR="001D308B" w:rsidRPr="00020F2D" w:rsidRDefault="001D308B" w:rsidP="006C61FD">
            <w:pPr>
              <w:ind w:firstLine="720"/>
            </w:pPr>
          </w:p>
        </w:tc>
        <w:tc>
          <w:tcPr>
            <w:tcW w:w="1796" w:type="dxa"/>
          </w:tcPr>
          <w:p w14:paraId="75419427" w14:textId="77777777" w:rsidR="00085676" w:rsidRDefault="00085676" w:rsidP="00085676"/>
          <w:p w14:paraId="4B38CE56" w14:textId="5D50866B" w:rsidR="00085676" w:rsidRDefault="00085676" w:rsidP="00085676">
            <w:r>
              <w:t xml:space="preserve">£149 </w:t>
            </w:r>
            <w:proofErr w:type="spellStart"/>
            <w:r>
              <w:t>AfPE</w:t>
            </w:r>
            <w:proofErr w:type="spellEnd"/>
            <w:r>
              <w:t xml:space="preserve"> Membership</w:t>
            </w:r>
          </w:p>
          <w:p w14:paraId="249690BF" w14:textId="77777777" w:rsidR="00085676" w:rsidRDefault="00085676" w:rsidP="00085676"/>
          <w:p w14:paraId="6EBE4020" w14:textId="34FA454F" w:rsidR="00085676" w:rsidRDefault="00085676" w:rsidP="00085676">
            <w:r>
              <w:t xml:space="preserve">£149 </w:t>
            </w:r>
            <w:proofErr w:type="spellStart"/>
            <w:r>
              <w:t>AfPE</w:t>
            </w:r>
            <w:proofErr w:type="spellEnd"/>
            <w:r>
              <w:t xml:space="preserve"> Conference Fees</w:t>
            </w:r>
          </w:p>
          <w:p w14:paraId="7614F804" w14:textId="77777777" w:rsidR="00085676" w:rsidRDefault="00085676" w:rsidP="00085676"/>
          <w:p w14:paraId="5409D86E" w14:textId="555EB22A" w:rsidR="004175EA" w:rsidRDefault="004175EA" w:rsidP="00085676">
            <w:r>
              <w:t xml:space="preserve">£300 </w:t>
            </w:r>
            <w:proofErr w:type="spellStart"/>
            <w:r>
              <w:t>AfPE</w:t>
            </w:r>
            <w:proofErr w:type="spellEnd"/>
            <w:r>
              <w:t xml:space="preserve"> Sport Quality Mark</w:t>
            </w:r>
          </w:p>
          <w:p w14:paraId="2D6F792F" w14:textId="77777777" w:rsidR="00085676" w:rsidRDefault="00085676" w:rsidP="00085676"/>
          <w:p w14:paraId="1AA19F93" w14:textId="77777777" w:rsidR="00BC2630" w:rsidRDefault="00BC2630" w:rsidP="00BC2630">
            <w:r>
              <w:t xml:space="preserve">£2800 </w:t>
            </w:r>
          </w:p>
          <w:p w14:paraId="457397A7" w14:textId="77777777" w:rsidR="00BC2630" w:rsidRDefault="00BC2630" w:rsidP="00BC2630">
            <w:r>
              <w:t>(£280 supply costs per day for M6)</w:t>
            </w:r>
          </w:p>
          <w:p w14:paraId="19B7BD42" w14:textId="7E8DC5EB" w:rsidR="001D308B" w:rsidRPr="00020F2D" w:rsidRDefault="00BC2630" w:rsidP="00BC2630">
            <w:r>
              <w:t>Supply for CPD &amp; training courses</w:t>
            </w:r>
          </w:p>
        </w:tc>
        <w:tc>
          <w:tcPr>
            <w:tcW w:w="2619" w:type="dxa"/>
          </w:tcPr>
          <w:p w14:paraId="38E44925" w14:textId="638ECD4B" w:rsidR="001D308B" w:rsidRPr="00020F2D" w:rsidRDefault="006C61FD" w:rsidP="006C61FD">
            <w:r w:rsidRPr="00020F2D">
              <w:t>- Staff confidence and competence in delivering high-quality PE lessons increases.</w:t>
            </w:r>
            <w:r w:rsidRPr="00020F2D">
              <w:br/>
              <w:t>- PE lessons become more engaging, inclusive and progressive.</w:t>
            </w:r>
            <w:r w:rsidRPr="00020F2D">
              <w:br/>
              <w:t>- Long-term sustainability as staff can independently deliver high-quality PE.</w:t>
            </w:r>
          </w:p>
        </w:tc>
        <w:tc>
          <w:tcPr>
            <w:tcW w:w="4673" w:type="dxa"/>
            <w:shd w:val="clear" w:color="auto" w:fill="FAE2D5" w:themeFill="accent2" w:themeFillTint="33"/>
          </w:tcPr>
          <w:p w14:paraId="12381055" w14:textId="11EE05C5" w:rsidR="001D308B" w:rsidRPr="00020F2D" w:rsidRDefault="006C61FD" w:rsidP="006C61FD">
            <w:r w:rsidRPr="00020F2D">
              <w:t>Key Indicator 3 – Increased confidence, knowledge and skills of all staff in teaching PE and sport:</w:t>
            </w:r>
            <w:r w:rsidRPr="00020F2D">
              <w:br/>
              <w:t>Staff receive practical support and resources to deliver better-quality PE now and, in the future, ensuring sustainable improvement.</w:t>
            </w:r>
          </w:p>
        </w:tc>
      </w:tr>
      <w:tr w:rsidR="00020F2D" w:rsidRPr="00EF75CC" w14:paraId="6026A57D" w14:textId="0BD741B5" w:rsidTr="004175EA">
        <w:trPr>
          <w:trHeight w:val="1187"/>
        </w:trPr>
        <w:tc>
          <w:tcPr>
            <w:tcW w:w="1483" w:type="dxa"/>
            <w:vMerge w:val="restart"/>
          </w:tcPr>
          <w:p w14:paraId="5714C745" w14:textId="6FFA504D" w:rsidR="00020F2D" w:rsidRPr="00846361" w:rsidRDefault="00020F2D" w:rsidP="00EF75CC">
            <w:pPr>
              <w:jc w:val="center"/>
              <w:rPr>
                <w:b/>
                <w:bCs/>
              </w:rPr>
            </w:pPr>
            <w:r w:rsidRPr="00846361">
              <w:rPr>
                <w:b/>
                <w:bCs/>
                <w:iCs/>
              </w:rPr>
              <w:lastRenderedPageBreak/>
              <w:t>Swimming</w:t>
            </w:r>
          </w:p>
        </w:tc>
        <w:tc>
          <w:tcPr>
            <w:tcW w:w="3379" w:type="dxa"/>
            <w:vMerge w:val="restar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20F2D" w:rsidRPr="00020F2D" w14:paraId="1A30D1B2" w14:textId="77777777" w:rsidTr="00020F2D">
              <w:trPr>
                <w:tblCellSpacing w:w="15" w:type="dxa"/>
              </w:trPr>
              <w:tc>
                <w:tcPr>
                  <w:tcW w:w="0" w:type="auto"/>
                  <w:vAlign w:val="center"/>
                  <w:hideMark/>
                </w:tcPr>
                <w:p w14:paraId="0BE98F72" w14:textId="77777777" w:rsidR="00020F2D" w:rsidRPr="00020F2D" w:rsidRDefault="00020F2D" w:rsidP="00020F2D"/>
              </w:tc>
            </w:tr>
          </w:tbl>
          <w:p w14:paraId="5DE965DD" w14:textId="77777777" w:rsidR="00020F2D" w:rsidRPr="00020F2D" w:rsidRDefault="00020F2D" w:rsidP="00020F2D">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0"/>
            </w:tblGrid>
            <w:tr w:rsidR="00020F2D" w:rsidRPr="00020F2D" w14:paraId="3896320F" w14:textId="77777777" w:rsidTr="00020F2D">
              <w:trPr>
                <w:tblCellSpacing w:w="15" w:type="dxa"/>
              </w:trPr>
              <w:tc>
                <w:tcPr>
                  <w:tcW w:w="0" w:type="auto"/>
                  <w:vAlign w:val="center"/>
                  <w:hideMark/>
                </w:tcPr>
                <w:p w14:paraId="02C05229" w14:textId="77777777" w:rsidR="00020F2D" w:rsidRPr="00020F2D" w:rsidRDefault="00020F2D" w:rsidP="00020F2D">
                  <w:r w:rsidRPr="00020F2D">
                    <w:t>- Provide additional swimming booster sessions for Year 6 pupils not yet meeting NC expectations.</w:t>
                  </w:r>
                  <w:r w:rsidRPr="00020F2D">
                    <w:br/>
                    <w:t>- Use of qualified swimming instructors and hire of pool.</w:t>
                  </w:r>
                  <w:r w:rsidRPr="00020F2D">
                    <w:br/>
                    <w:t>- Track outcomes of swimming assessments.</w:t>
                  </w:r>
                  <w:r w:rsidRPr="00020F2D">
                    <w:br/>
                    <w:t xml:space="preserve">- Offer water safety education. </w:t>
                  </w:r>
                </w:p>
                <w:p w14:paraId="5DF5C512" w14:textId="0EB95D45" w:rsidR="00020F2D" w:rsidRPr="00020F2D" w:rsidRDefault="00020F2D" w:rsidP="00020F2D"/>
              </w:tc>
            </w:tr>
          </w:tbl>
          <w:p w14:paraId="532D7563" w14:textId="77777777" w:rsidR="00020F2D" w:rsidRPr="00020F2D" w:rsidRDefault="00020F2D" w:rsidP="006C61FD"/>
        </w:tc>
        <w:tc>
          <w:tcPr>
            <w:tcW w:w="1796" w:type="dxa"/>
            <w:vMerge w:val="restart"/>
          </w:tcPr>
          <w:p w14:paraId="2ABF06B4" w14:textId="059D4692" w:rsidR="00020F2D" w:rsidRPr="00020F2D" w:rsidRDefault="00085676" w:rsidP="006C61FD">
            <w:r>
              <w:t>£</w:t>
            </w:r>
            <w:r w:rsidR="00012072">
              <w:t>3,500</w:t>
            </w:r>
          </w:p>
          <w:p w14:paraId="75EDBBEB" w14:textId="26E7856F" w:rsidR="00020F2D" w:rsidRPr="00020F2D" w:rsidRDefault="00020F2D" w:rsidP="006C61FD">
            <w:r w:rsidRPr="00020F2D">
              <w:t xml:space="preserve">Hire of </w:t>
            </w:r>
            <w:r w:rsidR="00085676">
              <w:t xml:space="preserve">coach </w:t>
            </w:r>
          </w:p>
          <w:p w14:paraId="4134A1D8" w14:textId="77777777" w:rsidR="00020F2D" w:rsidRDefault="00020F2D" w:rsidP="006C61FD"/>
          <w:p w14:paraId="0DE6C439" w14:textId="0F7030E7" w:rsidR="00085676" w:rsidRPr="00020F2D" w:rsidRDefault="00085676" w:rsidP="006C61FD">
            <w:r>
              <w:t>£</w:t>
            </w:r>
            <w:r w:rsidR="00012072">
              <w:t>600</w:t>
            </w:r>
          </w:p>
          <w:p w14:paraId="11FD3035" w14:textId="7C0EE090" w:rsidR="00020F2D" w:rsidRPr="00020F2D" w:rsidRDefault="00085676" w:rsidP="006C61FD">
            <w:r>
              <w:t>h</w:t>
            </w:r>
            <w:r w:rsidR="00020F2D" w:rsidRPr="00020F2D">
              <w:t>ire of pool and instructors.</w:t>
            </w:r>
          </w:p>
        </w:tc>
        <w:tc>
          <w:tcPr>
            <w:tcW w:w="2619" w:type="dxa"/>
            <w:vMerge w:val="restart"/>
          </w:tcPr>
          <w:p w14:paraId="392F218B" w14:textId="71224032" w:rsidR="00020F2D" w:rsidRPr="00020F2D" w:rsidRDefault="00020F2D" w:rsidP="006C61FD">
            <w:r w:rsidRPr="00020F2D">
              <w:t>- More pupils meet national curriculum requirement for swimming and water safety.</w:t>
            </w:r>
            <w:r w:rsidRPr="00020F2D">
              <w:br/>
              <w:t>- Children feel more confident and safer around water.</w:t>
            </w:r>
            <w:r w:rsidRPr="00020F2D">
              <w:br/>
              <w:t>- Stronger outcomes for non-swimmers or disadvantaged pupils.</w:t>
            </w:r>
          </w:p>
        </w:tc>
        <w:tc>
          <w:tcPr>
            <w:tcW w:w="4673" w:type="dxa"/>
            <w:shd w:val="clear" w:color="auto" w:fill="F2CEED" w:themeFill="accent5" w:themeFillTint="33"/>
          </w:tcPr>
          <w:p w14:paraId="49C03B7B" w14:textId="77777777" w:rsidR="00020F2D" w:rsidRPr="00020F2D" w:rsidRDefault="00020F2D" w:rsidP="006C61FD">
            <w:r w:rsidRPr="00020F2D">
              <w:t>Key Indicator 1 – Engagement in regular physical activity:</w:t>
            </w:r>
            <w:r w:rsidRPr="00020F2D">
              <w:br/>
              <w:t>Swimming supports physical activity in a structured setting.</w:t>
            </w:r>
          </w:p>
          <w:p w14:paraId="5C007267" w14:textId="5395AC9E" w:rsidR="00020F2D" w:rsidRPr="00020F2D" w:rsidRDefault="00020F2D" w:rsidP="006C61FD"/>
        </w:tc>
      </w:tr>
      <w:tr w:rsidR="00020F2D" w:rsidRPr="00EF75CC" w14:paraId="7F024C9F" w14:textId="77777777" w:rsidTr="004175EA">
        <w:trPr>
          <w:trHeight w:val="1187"/>
        </w:trPr>
        <w:tc>
          <w:tcPr>
            <w:tcW w:w="1483" w:type="dxa"/>
            <w:vMerge/>
          </w:tcPr>
          <w:p w14:paraId="41EFA576" w14:textId="77777777" w:rsidR="00020F2D" w:rsidRPr="00020F2D" w:rsidRDefault="00020F2D" w:rsidP="00EF75CC">
            <w:pPr>
              <w:jc w:val="center"/>
              <w:rPr>
                <w:iCs/>
              </w:rPr>
            </w:pPr>
          </w:p>
        </w:tc>
        <w:tc>
          <w:tcPr>
            <w:tcW w:w="3379" w:type="dxa"/>
            <w:vMerge/>
          </w:tcPr>
          <w:p w14:paraId="21AB6507" w14:textId="77777777" w:rsidR="00020F2D" w:rsidRPr="00020F2D" w:rsidRDefault="00020F2D" w:rsidP="00020F2D"/>
        </w:tc>
        <w:tc>
          <w:tcPr>
            <w:tcW w:w="1796" w:type="dxa"/>
            <w:vMerge/>
          </w:tcPr>
          <w:p w14:paraId="474F8A1F" w14:textId="77777777" w:rsidR="00020F2D" w:rsidRPr="00020F2D" w:rsidRDefault="00020F2D" w:rsidP="006C61FD"/>
        </w:tc>
        <w:tc>
          <w:tcPr>
            <w:tcW w:w="2619" w:type="dxa"/>
            <w:vMerge/>
          </w:tcPr>
          <w:p w14:paraId="5172932A" w14:textId="77777777" w:rsidR="00020F2D" w:rsidRPr="00020F2D" w:rsidRDefault="00020F2D" w:rsidP="006C61FD"/>
        </w:tc>
        <w:tc>
          <w:tcPr>
            <w:tcW w:w="4673" w:type="dxa"/>
            <w:shd w:val="clear" w:color="auto" w:fill="EFE880"/>
          </w:tcPr>
          <w:p w14:paraId="33848C2C" w14:textId="1C3C24DD" w:rsidR="00020F2D" w:rsidRPr="00020F2D" w:rsidRDefault="00020F2D" w:rsidP="006C61FD">
            <w:r w:rsidRPr="00020F2D">
              <w:t>Key Indicator 4 – Broader experience of a range of sports and activities:</w:t>
            </w:r>
            <w:r w:rsidRPr="00020F2D">
              <w:br/>
              <w:t>Swimming provides essential life skills and access to a different form of physical activity.</w:t>
            </w:r>
          </w:p>
        </w:tc>
      </w:tr>
      <w:tr w:rsidR="00020F2D" w:rsidRPr="00EF75CC" w14:paraId="08DB710D" w14:textId="77777777" w:rsidTr="004175EA">
        <w:trPr>
          <w:trHeight w:val="1397"/>
        </w:trPr>
        <w:tc>
          <w:tcPr>
            <w:tcW w:w="1483" w:type="dxa"/>
            <w:vMerge w:val="restart"/>
          </w:tcPr>
          <w:p w14:paraId="13BC0E94" w14:textId="28394491" w:rsidR="00020F2D" w:rsidRPr="00EF75CC" w:rsidRDefault="00020F2D" w:rsidP="00EF75CC">
            <w:pPr>
              <w:jc w:val="center"/>
              <w:rPr>
                <w:b/>
                <w:bCs/>
              </w:rPr>
            </w:pPr>
            <w:r w:rsidRPr="00020F2D">
              <w:rPr>
                <w:b/>
                <w:bCs/>
              </w:rPr>
              <w:t>Develop pupil leadership and officiating skills</w:t>
            </w:r>
          </w:p>
        </w:tc>
        <w:tc>
          <w:tcPr>
            <w:tcW w:w="3379" w:type="dxa"/>
            <w:vMerge w:val="restart"/>
          </w:tcPr>
          <w:p w14:paraId="308811FE" w14:textId="6B149769" w:rsidR="00020F2D" w:rsidRPr="006C61FD" w:rsidRDefault="00020F2D" w:rsidP="006C61FD">
            <w:r w:rsidRPr="00020F2D">
              <w:t>- Identify and train pupils (KS2) as Sports Leaders or Playground Leaders.</w:t>
            </w:r>
            <w:r w:rsidRPr="00020F2D">
              <w:br/>
              <w:t>- Provide leadership workshops focusing on warm-ups, managing small group games, officiating, and positive communication.</w:t>
            </w:r>
            <w:r w:rsidRPr="00020F2D">
              <w:br/>
              <w:t>- Assign leadership roles at sports days, tournaments, and lunchtime activities.</w:t>
            </w:r>
            <w:r w:rsidRPr="00020F2D">
              <w:br/>
              <w:t>- Link with PE lessons to build leadership into the curriculum.</w:t>
            </w:r>
          </w:p>
        </w:tc>
        <w:tc>
          <w:tcPr>
            <w:tcW w:w="1796" w:type="dxa"/>
            <w:vMerge w:val="restart"/>
          </w:tcPr>
          <w:p w14:paraId="6F270906" w14:textId="77777777" w:rsidR="00020F2D" w:rsidRPr="006C61FD" w:rsidRDefault="00020F2D" w:rsidP="006C61FD"/>
        </w:tc>
        <w:tc>
          <w:tcPr>
            <w:tcW w:w="2619" w:type="dxa"/>
            <w:vMerge w:val="restart"/>
          </w:tcPr>
          <w:p w14:paraId="4DE98DE9" w14:textId="0D454675" w:rsidR="002F58E9" w:rsidRDefault="00020F2D" w:rsidP="002F58E9">
            <w:r w:rsidRPr="00020F2D">
              <w:t>- Increased pupil confidence, communication and leadership skills.</w:t>
            </w:r>
            <w:r w:rsidRPr="00020F2D">
              <w:br/>
              <w:t>- Greater pupil ownership of physical activity.</w:t>
            </w:r>
            <w:r w:rsidRPr="00020F2D">
              <w:br/>
              <w:t>- Improved lunchtime behaviour and activity levels.</w:t>
            </w:r>
            <w:r w:rsidRPr="00020F2D">
              <w:br/>
              <w:t>- Younger pupils more engaged due to peer-led games.</w:t>
            </w:r>
          </w:p>
          <w:p w14:paraId="47921D85" w14:textId="3F67D438" w:rsidR="002F58E9" w:rsidRPr="006C61FD" w:rsidRDefault="002F58E9" w:rsidP="002F58E9">
            <w:r>
              <w:t xml:space="preserve">- Children to attend </w:t>
            </w:r>
            <w:r w:rsidRPr="00085676">
              <w:rPr>
                <w:b/>
                <w:bCs/>
              </w:rPr>
              <w:t>Sevenoaks Partnership Sports Leaders Training</w:t>
            </w:r>
            <w:r>
              <w:t>.</w:t>
            </w:r>
          </w:p>
        </w:tc>
        <w:tc>
          <w:tcPr>
            <w:tcW w:w="4673" w:type="dxa"/>
            <w:shd w:val="clear" w:color="auto" w:fill="D9F2D0" w:themeFill="accent6" w:themeFillTint="33"/>
          </w:tcPr>
          <w:p w14:paraId="4B835833" w14:textId="779092BE" w:rsidR="00020F2D" w:rsidRPr="006C61FD" w:rsidRDefault="00020F2D" w:rsidP="006C61FD">
            <w:r w:rsidRPr="00020F2D">
              <w:rPr>
                <w:b/>
                <w:bCs/>
              </w:rPr>
              <w:t>Key Indicator 2 – Raising the profile of PE and sport across the school:</w:t>
            </w:r>
            <w:r w:rsidRPr="00020F2D">
              <w:br/>
              <w:t>Pupil-led initiatives raise the status of sport and give it visibility.</w:t>
            </w:r>
            <w:r w:rsidRPr="00020F2D">
              <w:br/>
            </w:r>
          </w:p>
        </w:tc>
      </w:tr>
      <w:tr w:rsidR="00020F2D" w:rsidRPr="00EF75CC" w14:paraId="76FC47F9" w14:textId="77777777" w:rsidTr="004175EA">
        <w:trPr>
          <w:trHeight w:val="2042"/>
        </w:trPr>
        <w:tc>
          <w:tcPr>
            <w:tcW w:w="1483" w:type="dxa"/>
            <w:vMerge/>
          </w:tcPr>
          <w:p w14:paraId="2C1B6143" w14:textId="77777777" w:rsidR="00020F2D" w:rsidRPr="00020F2D" w:rsidRDefault="00020F2D" w:rsidP="00EF75CC">
            <w:pPr>
              <w:jc w:val="center"/>
              <w:rPr>
                <w:b/>
                <w:bCs/>
              </w:rPr>
            </w:pPr>
          </w:p>
        </w:tc>
        <w:tc>
          <w:tcPr>
            <w:tcW w:w="3379" w:type="dxa"/>
            <w:vMerge/>
          </w:tcPr>
          <w:p w14:paraId="316F11E5" w14:textId="77777777" w:rsidR="00020F2D" w:rsidRPr="00020F2D" w:rsidRDefault="00020F2D" w:rsidP="006C61FD"/>
        </w:tc>
        <w:tc>
          <w:tcPr>
            <w:tcW w:w="1796" w:type="dxa"/>
            <w:vMerge/>
          </w:tcPr>
          <w:p w14:paraId="0D0E4DC5" w14:textId="77777777" w:rsidR="00020F2D" w:rsidRPr="006C61FD" w:rsidRDefault="00020F2D" w:rsidP="006C61FD"/>
        </w:tc>
        <w:tc>
          <w:tcPr>
            <w:tcW w:w="2619" w:type="dxa"/>
            <w:vMerge/>
          </w:tcPr>
          <w:p w14:paraId="78CA2E4B" w14:textId="77777777" w:rsidR="00020F2D" w:rsidRPr="00020F2D" w:rsidRDefault="00020F2D" w:rsidP="006C61FD"/>
        </w:tc>
        <w:tc>
          <w:tcPr>
            <w:tcW w:w="4673" w:type="dxa"/>
            <w:shd w:val="clear" w:color="auto" w:fill="EFE880"/>
          </w:tcPr>
          <w:p w14:paraId="7F5EE821" w14:textId="04C9AA0A" w:rsidR="00020F2D" w:rsidRPr="00020F2D" w:rsidRDefault="00020F2D" w:rsidP="006C61FD">
            <w:pPr>
              <w:rPr>
                <w:b/>
                <w:bCs/>
              </w:rPr>
            </w:pPr>
            <w:r w:rsidRPr="00020F2D">
              <w:rPr>
                <w:b/>
                <w:bCs/>
              </w:rPr>
              <w:t>Key Indicator 4 – Broader experience of a range of sports and activities:</w:t>
            </w:r>
            <w:r w:rsidRPr="00020F2D">
              <w:br/>
              <w:t>Leadership roles introduce a new way to engage with sport for pupils who may not enjoy competition.</w:t>
            </w:r>
            <w:r w:rsidRPr="00020F2D">
              <w:br/>
            </w:r>
          </w:p>
        </w:tc>
      </w:tr>
      <w:tr w:rsidR="00020F2D" w:rsidRPr="00EF75CC" w14:paraId="4722BDBA" w14:textId="77777777" w:rsidTr="004175EA">
        <w:trPr>
          <w:trHeight w:val="1830"/>
        </w:trPr>
        <w:tc>
          <w:tcPr>
            <w:tcW w:w="1483" w:type="dxa"/>
            <w:vMerge/>
          </w:tcPr>
          <w:p w14:paraId="476223C0" w14:textId="77777777" w:rsidR="00020F2D" w:rsidRPr="00020F2D" w:rsidRDefault="00020F2D" w:rsidP="00EF75CC">
            <w:pPr>
              <w:jc w:val="center"/>
              <w:rPr>
                <w:b/>
                <w:bCs/>
              </w:rPr>
            </w:pPr>
          </w:p>
        </w:tc>
        <w:tc>
          <w:tcPr>
            <w:tcW w:w="3379" w:type="dxa"/>
            <w:vMerge/>
          </w:tcPr>
          <w:p w14:paraId="1B02662D" w14:textId="77777777" w:rsidR="00020F2D" w:rsidRPr="00020F2D" w:rsidRDefault="00020F2D" w:rsidP="006C61FD"/>
        </w:tc>
        <w:tc>
          <w:tcPr>
            <w:tcW w:w="1796" w:type="dxa"/>
            <w:vMerge/>
          </w:tcPr>
          <w:p w14:paraId="461695A1" w14:textId="77777777" w:rsidR="00020F2D" w:rsidRPr="006C61FD" w:rsidRDefault="00020F2D" w:rsidP="006C61FD"/>
        </w:tc>
        <w:tc>
          <w:tcPr>
            <w:tcW w:w="2619" w:type="dxa"/>
            <w:vMerge/>
          </w:tcPr>
          <w:p w14:paraId="6B770DB0" w14:textId="77777777" w:rsidR="00020F2D" w:rsidRPr="00020F2D" w:rsidRDefault="00020F2D" w:rsidP="006C61FD"/>
        </w:tc>
        <w:tc>
          <w:tcPr>
            <w:tcW w:w="4673" w:type="dxa"/>
            <w:shd w:val="clear" w:color="auto" w:fill="BFB3FF"/>
          </w:tcPr>
          <w:p w14:paraId="51550EB9" w14:textId="18CC56EC" w:rsidR="00020F2D" w:rsidRPr="00020F2D" w:rsidRDefault="00020F2D" w:rsidP="006C61FD">
            <w:pPr>
              <w:rPr>
                <w:b/>
                <w:bCs/>
              </w:rPr>
            </w:pPr>
            <w:r w:rsidRPr="00020F2D">
              <w:rPr>
                <w:b/>
                <w:bCs/>
              </w:rPr>
              <w:t>Key Indicator 5 – Increased participation in competitive sport:</w:t>
            </w:r>
            <w:r w:rsidRPr="00020F2D">
              <w:br/>
              <w:t>Having trained leaders and referees allows more events to run effectively and inclusively.</w:t>
            </w:r>
          </w:p>
        </w:tc>
      </w:tr>
      <w:tr w:rsidR="00760971" w:rsidRPr="00EF75CC" w14:paraId="3A80CAF3" w14:textId="77777777" w:rsidTr="004175EA">
        <w:trPr>
          <w:trHeight w:val="3649"/>
        </w:trPr>
        <w:tc>
          <w:tcPr>
            <w:tcW w:w="1483" w:type="dxa"/>
            <w:vMerge/>
          </w:tcPr>
          <w:p w14:paraId="30803900" w14:textId="77777777" w:rsidR="00760971" w:rsidRPr="00020F2D" w:rsidRDefault="00760971" w:rsidP="00EF75CC">
            <w:pPr>
              <w:jc w:val="center"/>
              <w:rPr>
                <w:b/>
                <w:bCs/>
              </w:rPr>
            </w:pPr>
          </w:p>
        </w:tc>
        <w:tc>
          <w:tcPr>
            <w:tcW w:w="3379" w:type="dxa"/>
            <w:vMerge/>
          </w:tcPr>
          <w:p w14:paraId="421793DC" w14:textId="77777777" w:rsidR="00760971" w:rsidRPr="00020F2D" w:rsidRDefault="00760971" w:rsidP="006C61FD"/>
        </w:tc>
        <w:tc>
          <w:tcPr>
            <w:tcW w:w="1796" w:type="dxa"/>
            <w:vMerge/>
          </w:tcPr>
          <w:p w14:paraId="1D90371D" w14:textId="77777777" w:rsidR="00760971" w:rsidRPr="006C61FD" w:rsidRDefault="00760971" w:rsidP="006C61FD"/>
        </w:tc>
        <w:tc>
          <w:tcPr>
            <w:tcW w:w="2619" w:type="dxa"/>
            <w:vMerge/>
          </w:tcPr>
          <w:p w14:paraId="409F255B" w14:textId="77777777" w:rsidR="00760971" w:rsidRPr="00020F2D" w:rsidRDefault="00760971" w:rsidP="00516F86"/>
        </w:tc>
        <w:tc>
          <w:tcPr>
            <w:tcW w:w="4673" w:type="dxa"/>
          </w:tcPr>
          <w:p w14:paraId="3468FB63" w14:textId="3018B9EE" w:rsidR="00760971" w:rsidRPr="0041404F" w:rsidRDefault="002F58E9" w:rsidP="006C61FD">
            <w:pPr>
              <w:rPr>
                <w:b/>
                <w:bCs/>
              </w:rPr>
            </w:pPr>
            <w:r>
              <w:rPr>
                <w:b/>
                <w:bCs/>
                <w:noProof/>
              </w:rPr>
              <mc:AlternateContent>
                <mc:Choice Requires="wps">
                  <w:drawing>
                    <wp:anchor distT="0" distB="0" distL="114300" distR="114300" simplePos="0" relativeHeight="251667456" behindDoc="0" locked="0" layoutInCell="1" allowOverlap="1" wp14:anchorId="3FA1BAE0" wp14:editId="43B9821C">
                      <wp:simplePos x="0" y="0"/>
                      <wp:positionH relativeFrom="column">
                        <wp:posOffset>-6158865</wp:posOffset>
                      </wp:positionH>
                      <wp:positionV relativeFrom="paragraph">
                        <wp:posOffset>-319405</wp:posOffset>
                      </wp:positionV>
                      <wp:extent cx="9558068" cy="6452559"/>
                      <wp:effectExtent l="0" t="0" r="5080" b="0"/>
                      <wp:wrapNone/>
                      <wp:docPr id="25171135" name="Text Box 2"/>
                      <wp:cNvGraphicFramePr/>
                      <a:graphic xmlns:a="http://schemas.openxmlformats.org/drawingml/2006/main">
                        <a:graphicData uri="http://schemas.microsoft.com/office/word/2010/wordprocessingShape">
                          <wps:wsp>
                            <wps:cNvSpPr txBox="1"/>
                            <wps:spPr>
                              <a:xfrm>
                                <a:off x="0" y="0"/>
                                <a:ext cx="9558068" cy="6452559"/>
                              </a:xfrm>
                              <a:prstGeom prst="rect">
                                <a:avLst/>
                              </a:prstGeom>
                              <a:solidFill>
                                <a:schemeClr val="bg1"/>
                              </a:solidFill>
                              <a:ln w="6350">
                                <a:noFill/>
                              </a:ln>
                            </wps:spPr>
                            <wps:txbx>
                              <w:txbxContent>
                                <w:p w14:paraId="09B72B26" w14:textId="0171F631" w:rsidR="002F58E9" w:rsidRPr="00516F86" w:rsidRDefault="002F58E9" w:rsidP="002F58E9">
                                  <w:pPr>
                                    <w:jc w:val="center"/>
                                    <w:rPr>
                                      <w:b/>
                                      <w:bCs/>
                                      <w:sz w:val="32"/>
                                      <w:szCs w:val="32"/>
                                    </w:rPr>
                                  </w:pPr>
                                  <w:r w:rsidRPr="00516F86">
                                    <w:rPr>
                                      <w:b/>
                                      <w:bCs/>
                                      <w:sz w:val="32"/>
                                      <w:szCs w:val="32"/>
                                    </w:rPr>
                                    <w:t>Swimming Attainment Data</w:t>
                                  </w:r>
                                  <w:r w:rsidR="0093273E">
                                    <w:rPr>
                                      <w:b/>
                                      <w:bCs/>
                                      <w:sz w:val="32"/>
                                      <w:szCs w:val="32"/>
                                    </w:rPr>
                                    <w:t xml:space="preserve"> 2025-26</w:t>
                                  </w:r>
                                </w:p>
                                <w:p w14:paraId="52FF1032" w14:textId="77777777" w:rsidR="002F58E9" w:rsidRDefault="002F58E9" w:rsidP="002F58E9"/>
                                <w:tbl>
                                  <w:tblPr>
                                    <w:tblStyle w:val="TableGrid"/>
                                    <w:tblW w:w="0" w:type="auto"/>
                                    <w:tblLook w:val="04A0" w:firstRow="1" w:lastRow="0" w:firstColumn="1" w:lastColumn="0" w:noHBand="0" w:noVBand="1"/>
                                  </w:tblPr>
                                  <w:tblGrid>
                                    <w:gridCol w:w="7379"/>
                                    <w:gridCol w:w="7380"/>
                                  </w:tblGrid>
                                  <w:tr w:rsidR="002F58E9" w14:paraId="43784F66" w14:textId="77777777" w:rsidTr="00477597">
                                    <w:tc>
                                      <w:tcPr>
                                        <w:tcW w:w="7379" w:type="dxa"/>
                                        <w:shd w:val="clear" w:color="auto" w:fill="C1E4F5" w:themeFill="accent1" w:themeFillTint="33"/>
                                      </w:tcPr>
                                      <w:p w14:paraId="1E1D26C5" w14:textId="77777777" w:rsidR="002F58E9" w:rsidRPr="00846361" w:rsidRDefault="002F58E9" w:rsidP="00477597">
                                        <w:pPr>
                                          <w:spacing w:line="480" w:lineRule="auto"/>
                                          <w:rPr>
                                            <w:b/>
                                            <w:bCs/>
                                          </w:rPr>
                                        </w:pPr>
                                        <w:r w:rsidRPr="00846361">
                                          <w:rPr>
                                            <w:b/>
                                            <w:bCs/>
                                          </w:rPr>
                                          <w:t>Swimming Requirements</w:t>
                                        </w:r>
                                      </w:p>
                                    </w:tc>
                                    <w:tc>
                                      <w:tcPr>
                                        <w:tcW w:w="7380" w:type="dxa"/>
                                        <w:shd w:val="clear" w:color="auto" w:fill="C1E4F5" w:themeFill="accent1" w:themeFillTint="33"/>
                                      </w:tcPr>
                                      <w:p w14:paraId="5F651234" w14:textId="77777777" w:rsidR="002F58E9" w:rsidRPr="00846361" w:rsidRDefault="002F58E9" w:rsidP="00477597">
                                        <w:pPr>
                                          <w:spacing w:line="480" w:lineRule="auto"/>
                                          <w:rPr>
                                            <w:b/>
                                            <w:bCs/>
                                          </w:rPr>
                                        </w:pPr>
                                        <w:r w:rsidRPr="00846361">
                                          <w:rPr>
                                            <w:b/>
                                            <w:bCs/>
                                          </w:rPr>
                                          <w:t xml:space="preserve">% of Year 6 Pupils Achieving </w:t>
                                        </w:r>
                                      </w:p>
                                    </w:tc>
                                  </w:tr>
                                  <w:tr w:rsidR="002F58E9" w14:paraId="17115F1F" w14:textId="77777777" w:rsidTr="00477597">
                                    <w:tc>
                                      <w:tcPr>
                                        <w:tcW w:w="7379" w:type="dxa"/>
                                      </w:tcPr>
                                      <w:p w14:paraId="5E22A507" w14:textId="144BB84B" w:rsidR="002F58E9" w:rsidRPr="00846361" w:rsidRDefault="002F58E9" w:rsidP="00477597">
                                        <w:pPr>
                                          <w:spacing w:line="360" w:lineRule="auto"/>
                                          <w:rPr>
                                            <w:b/>
                                            <w:bCs/>
                                          </w:rPr>
                                        </w:pPr>
                                        <w:r w:rsidRPr="00846361">
                                          <w:rPr>
                                            <w:b/>
                                            <w:bCs/>
                                          </w:rPr>
                                          <w:t>Swim competently, confidently, and proficiently over a distance of at least 25 metres</w:t>
                                        </w:r>
                                      </w:p>
                                    </w:tc>
                                    <w:tc>
                                      <w:tcPr>
                                        <w:tcW w:w="7380" w:type="dxa"/>
                                      </w:tcPr>
                                      <w:p w14:paraId="7221D5BB" w14:textId="77777777" w:rsidR="002F58E9" w:rsidRPr="00846361" w:rsidRDefault="002F58E9" w:rsidP="00846361">
                                        <w:pPr>
                                          <w:spacing w:line="360" w:lineRule="auto"/>
                                          <w:jc w:val="center"/>
                                        </w:pPr>
                                      </w:p>
                                    </w:tc>
                                  </w:tr>
                                  <w:tr w:rsidR="002F58E9" w14:paraId="6EAE92C9" w14:textId="77777777" w:rsidTr="00477597">
                                    <w:tc>
                                      <w:tcPr>
                                        <w:tcW w:w="7379" w:type="dxa"/>
                                      </w:tcPr>
                                      <w:p w14:paraId="107AE93A" w14:textId="77777777" w:rsidR="002F58E9" w:rsidRPr="00846361" w:rsidRDefault="002F58E9" w:rsidP="00477597">
                                        <w:pPr>
                                          <w:spacing w:line="360" w:lineRule="auto"/>
                                          <w:rPr>
                                            <w:b/>
                                            <w:bCs/>
                                          </w:rPr>
                                        </w:pPr>
                                        <w:r w:rsidRPr="00846361">
                                          <w:rPr>
                                            <w:b/>
                                            <w:bCs/>
                                          </w:rPr>
                                          <w:t xml:space="preserve">Use a range of strokes effectively </w:t>
                                        </w:r>
                                      </w:p>
                                      <w:p w14:paraId="56521C0D" w14:textId="77777777" w:rsidR="002F58E9" w:rsidRPr="00846361" w:rsidRDefault="002F58E9" w:rsidP="00477597">
                                        <w:pPr>
                                          <w:spacing w:line="360" w:lineRule="auto"/>
                                          <w:rPr>
                                            <w:b/>
                                            <w:bCs/>
                                          </w:rPr>
                                        </w:pPr>
                                      </w:p>
                                    </w:tc>
                                    <w:tc>
                                      <w:tcPr>
                                        <w:tcW w:w="7380" w:type="dxa"/>
                                      </w:tcPr>
                                      <w:p w14:paraId="270B1197" w14:textId="77777777" w:rsidR="002F58E9" w:rsidRPr="00846361" w:rsidRDefault="002F58E9" w:rsidP="00846361">
                                        <w:pPr>
                                          <w:spacing w:line="360" w:lineRule="auto"/>
                                          <w:jc w:val="center"/>
                                        </w:pPr>
                                      </w:p>
                                    </w:tc>
                                  </w:tr>
                                  <w:tr w:rsidR="002F58E9" w14:paraId="769F86F5" w14:textId="77777777" w:rsidTr="00477597">
                                    <w:tc>
                                      <w:tcPr>
                                        <w:tcW w:w="7379" w:type="dxa"/>
                                      </w:tcPr>
                                      <w:p w14:paraId="3A422D6B" w14:textId="77777777" w:rsidR="002F58E9" w:rsidRPr="00846361" w:rsidRDefault="002F58E9" w:rsidP="00477597">
                                        <w:pPr>
                                          <w:spacing w:line="360" w:lineRule="auto"/>
                                          <w:rPr>
                                            <w:b/>
                                            <w:bCs/>
                                          </w:rPr>
                                        </w:pPr>
                                        <w:r w:rsidRPr="00846361">
                                          <w:rPr>
                                            <w:b/>
                                            <w:bCs/>
                                          </w:rPr>
                                          <w:t>Perform self-rescue in different water-based situations</w:t>
                                        </w:r>
                                      </w:p>
                                      <w:p w14:paraId="17D53A37" w14:textId="77777777" w:rsidR="002F58E9" w:rsidRPr="00846361" w:rsidRDefault="002F58E9" w:rsidP="00477597">
                                        <w:pPr>
                                          <w:spacing w:line="360" w:lineRule="auto"/>
                                          <w:rPr>
                                            <w:b/>
                                            <w:bCs/>
                                          </w:rPr>
                                        </w:pPr>
                                      </w:p>
                                    </w:tc>
                                    <w:tc>
                                      <w:tcPr>
                                        <w:tcW w:w="7380" w:type="dxa"/>
                                      </w:tcPr>
                                      <w:p w14:paraId="6A270960" w14:textId="77777777" w:rsidR="002F58E9" w:rsidRPr="00846361" w:rsidRDefault="002F58E9" w:rsidP="00846361">
                                        <w:pPr>
                                          <w:spacing w:line="360" w:lineRule="auto"/>
                                          <w:jc w:val="center"/>
                                        </w:pPr>
                                      </w:p>
                                    </w:tc>
                                  </w:tr>
                                </w:tbl>
                                <w:p w14:paraId="61095219" w14:textId="77777777" w:rsidR="002F58E9" w:rsidRDefault="002F58E9" w:rsidP="002F58E9"/>
                                <w:p w14:paraId="3D9F74E8" w14:textId="77777777" w:rsidR="002F58E9" w:rsidRDefault="002F58E9" w:rsidP="002F58E9"/>
                                <w:p w14:paraId="2954AA5F" w14:textId="77777777" w:rsidR="002F58E9" w:rsidRPr="00516F86" w:rsidRDefault="002F58E9" w:rsidP="002F58E9">
                                  <w:pPr>
                                    <w:jc w:val="center"/>
                                    <w:rPr>
                                      <w:b/>
                                      <w:bCs/>
                                      <w:sz w:val="36"/>
                                      <w:szCs w:val="36"/>
                                    </w:rPr>
                                  </w:pPr>
                                  <w:r w:rsidRPr="00516F86">
                                    <w:rPr>
                                      <w:b/>
                                      <w:bCs/>
                                      <w:sz w:val="36"/>
                                      <w:szCs w:val="36"/>
                                    </w:rPr>
                                    <w:t>Impact Summary (Narrative)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A1BAE0" id="_x0000_t202" coordsize="21600,21600" o:spt="202" path="m,l,21600r21600,l21600,xe">
                      <v:stroke joinstyle="miter"/>
                      <v:path gradientshapeok="t" o:connecttype="rect"/>
                    </v:shapetype>
                    <v:shape id="Text Box 2" o:spid="_x0000_s1027" type="#_x0000_t202" style="position:absolute;margin-left:-484.95pt;margin-top:-25.15pt;width:752.6pt;height:508.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" fillcolor="white [3212]" stroked="f" strokeweight=".5pt">
                      <v:textbox>
                        <w:txbxContent>
                          <w:p w14:paraId="09B72B26" w14:textId="0171F631" w:rsidR="002F58E9" w:rsidRPr="00516F86" w:rsidRDefault="002F58E9" w:rsidP="002F58E9">
                            <w:pPr>
                              <w:jc w:val="center"/>
                              <w:rPr>
                                <w:b/>
                                <w:bCs/>
                                <w:sz w:val="32"/>
                                <w:szCs w:val="32"/>
                              </w:rPr>
                            </w:pPr>
                            <w:r w:rsidRPr="00516F86">
                              <w:rPr>
                                <w:b/>
                                <w:bCs/>
                                <w:sz w:val="32"/>
                                <w:szCs w:val="32"/>
                              </w:rPr>
                              <w:t>Swimming Attainment Data</w:t>
                            </w:r>
                            <w:r w:rsidR="0093273E">
                              <w:rPr>
                                <w:b/>
                                <w:bCs/>
                                <w:sz w:val="32"/>
                                <w:szCs w:val="32"/>
                              </w:rPr>
                              <w:t xml:space="preserve"> 2025-26</w:t>
                            </w:r>
                          </w:p>
                          <w:p w14:paraId="52FF1032" w14:textId="77777777" w:rsidR="002F58E9" w:rsidRDefault="002F58E9" w:rsidP="002F58E9"/>
                          <w:tbl>
                            <w:tblPr>
                              <w:tblStyle w:val="TableGrid"/>
                              <w:tblW w:w="0" w:type="auto"/>
                              <w:tblLook w:val="04A0" w:firstRow="1" w:lastRow="0" w:firstColumn="1" w:lastColumn="0" w:noHBand="0" w:noVBand="1"/>
                            </w:tblPr>
                            <w:tblGrid>
                              <w:gridCol w:w="7379"/>
                              <w:gridCol w:w="7380"/>
                            </w:tblGrid>
                            <w:tr w:rsidR="002F58E9" w14:paraId="43784F66" w14:textId="77777777" w:rsidTr="00477597">
                              <w:tc>
                                <w:tcPr>
                                  <w:tcW w:w="7379" w:type="dxa"/>
                                  <w:shd w:val="clear" w:color="auto" w:fill="C1E4F5" w:themeFill="accent1" w:themeFillTint="33"/>
                                </w:tcPr>
                                <w:p w14:paraId="1E1D26C5" w14:textId="77777777" w:rsidR="002F58E9" w:rsidRPr="00846361" w:rsidRDefault="002F58E9" w:rsidP="00477597">
                                  <w:pPr>
                                    <w:spacing w:line="480" w:lineRule="auto"/>
                                    <w:rPr>
                                      <w:b/>
                                      <w:bCs/>
                                    </w:rPr>
                                  </w:pPr>
                                  <w:r w:rsidRPr="00846361">
                                    <w:rPr>
                                      <w:b/>
                                      <w:bCs/>
                                    </w:rPr>
                                    <w:t>Swimming Requirements</w:t>
                                  </w:r>
                                </w:p>
                              </w:tc>
                              <w:tc>
                                <w:tcPr>
                                  <w:tcW w:w="7380" w:type="dxa"/>
                                  <w:shd w:val="clear" w:color="auto" w:fill="C1E4F5" w:themeFill="accent1" w:themeFillTint="33"/>
                                </w:tcPr>
                                <w:p w14:paraId="5F651234" w14:textId="77777777" w:rsidR="002F58E9" w:rsidRPr="00846361" w:rsidRDefault="002F58E9" w:rsidP="00477597">
                                  <w:pPr>
                                    <w:spacing w:line="480" w:lineRule="auto"/>
                                    <w:rPr>
                                      <w:b/>
                                      <w:bCs/>
                                    </w:rPr>
                                  </w:pPr>
                                  <w:r w:rsidRPr="00846361">
                                    <w:rPr>
                                      <w:b/>
                                      <w:bCs/>
                                    </w:rPr>
                                    <w:t xml:space="preserve">% of Year 6 Pupils Achieving </w:t>
                                  </w:r>
                                </w:p>
                              </w:tc>
                            </w:tr>
                            <w:tr w:rsidR="002F58E9" w14:paraId="17115F1F" w14:textId="77777777" w:rsidTr="00477597">
                              <w:tc>
                                <w:tcPr>
                                  <w:tcW w:w="7379" w:type="dxa"/>
                                </w:tcPr>
                                <w:p w14:paraId="5E22A507" w14:textId="144BB84B" w:rsidR="002F58E9" w:rsidRPr="00846361" w:rsidRDefault="002F58E9" w:rsidP="00477597">
                                  <w:pPr>
                                    <w:spacing w:line="360" w:lineRule="auto"/>
                                    <w:rPr>
                                      <w:b/>
                                      <w:bCs/>
                                    </w:rPr>
                                  </w:pPr>
                                  <w:r w:rsidRPr="00846361">
                                    <w:rPr>
                                      <w:b/>
                                      <w:bCs/>
                                    </w:rPr>
                                    <w:t>Swim competently, confidently, and proficiently over a distance of at least 25 metres</w:t>
                                  </w:r>
                                </w:p>
                              </w:tc>
                              <w:tc>
                                <w:tcPr>
                                  <w:tcW w:w="7380" w:type="dxa"/>
                                </w:tcPr>
                                <w:p w14:paraId="7221D5BB" w14:textId="77777777" w:rsidR="002F58E9" w:rsidRPr="00846361" w:rsidRDefault="002F58E9" w:rsidP="00846361">
                                  <w:pPr>
                                    <w:spacing w:line="360" w:lineRule="auto"/>
                                    <w:jc w:val="center"/>
                                  </w:pPr>
                                </w:p>
                              </w:tc>
                            </w:tr>
                            <w:tr w:rsidR="002F58E9" w14:paraId="6EAE92C9" w14:textId="77777777" w:rsidTr="00477597">
                              <w:tc>
                                <w:tcPr>
                                  <w:tcW w:w="7379" w:type="dxa"/>
                                </w:tcPr>
                                <w:p w14:paraId="107AE93A" w14:textId="77777777" w:rsidR="002F58E9" w:rsidRPr="00846361" w:rsidRDefault="002F58E9" w:rsidP="00477597">
                                  <w:pPr>
                                    <w:spacing w:line="360" w:lineRule="auto"/>
                                    <w:rPr>
                                      <w:b/>
                                      <w:bCs/>
                                    </w:rPr>
                                  </w:pPr>
                                  <w:r w:rsidRPr="00846361">
                                    <w:rPr>
                                      <w:b/>
                                      <w:bCs/>
                                    </w:rPr>
                                    <w:t xml:space="preserve">Use a range of strokes effectively </w:t>
                                  </w:r>
                                </w:p>
                                <w:p w14:paraId="56521C0D" w14:textId="77777777" w:rsidR="002F58E9" w:rsidRPr="00846361" w:rsidRDefault="002F58E9" w:rsidP="00477597">
                                  <w:pPr>
                                    <w:spacing w:line="360" w:lineRule="auto"/>
                                    <w:rPr>
                                      <w:b/>
                                      <w:bCs/>
                                    </w:rPr>
                                  </w:pPr>
                                </w:p>
                              </w:tc>
                              <w:tc>
                                <w:tcPr>
                                  <w:tcW w:w="7380" w:type="dxa"/>
                                </w:tcPr>
                                <w:p w14:paraId="270B1197" w14:textId="77777777" w:rsidR="002F58E9" w:rsidRPr="00846361" w:rsidRDefault="002F58E9" w:rsidP="00846361">
                                  <w:pPr>
                                    <w:spacing w:line="360" w:lineRule="auto"/>
                                    <w:jc w:val="center"/>
                                  </w:pPr>
                                </w:p>
                              </w:tc>
                            </w:tr>
                            <w:tr w:rsidR="002F58E9" w14:paraId="769F86F5" w14:textId="77777777" w:rsidTr="00477597">
                              <w:tc>
                                <w:tcPr>
                                  <w:tcW w:w="7379" w:type="dxa"/>
                                </w:tcPr>
                                <w:p w14:paraId="3A422D6B" w14:textId="77777777" w:rsidR="002F58E9" w:rsidRPr="00846361" w:rsidRDefault="002F58E9" w:rsidP="00477597">
                                  <w:pPr>
                                    <w:spacing w:line="360" w:lineRule="auto"/>
                                    <w:rPr>
                                      <w:b/>
                                      <w:bCs/>
                                    </w:rPr>
                                  </w:pPr>
                                  <w:r w:rsidRPr="00846361">
                                    <w:rPr>
                                      <w:b/>
                                      <w:bCs/>
                                    </w:rPr>
                                    <w:t>Perform self-rescue in different water-based situations</w:t>
                                  </w:r>
                                </w:p>
                                <w:p w14:paraId="17D53A37" w14:textId="77777777" w:rsidR="002F58E9" w:rsidRPr="00846361" w:rsidRDefault="002F58E9" w:rsidP="00477597">
                                  <w:pPr>
                                    <w:spacing w:line="360" w:lineRule="auto"/>
                                    <w:rPr>
                                      <w:b/>
                                      <w:bCs/>
                                    </w:rPr>
                                  </w:pPr>
                                </w:p>
                              </w:tc>
                              <w:tc>
                                <w:tcPr>
                                  <w:tcW w:w="7380" w:type="dxa"/>
                                </w:tcPr>
                                <w:p w14:paraId="6A270960" w14:textId="77777777" w:rsidR="002F58E9" w:rsidRPr="00846361" w:rsidRDefault="002F58E9" w:rsidP="00846361">
                                  <w:pPr>
                                    <w:spacing w:line="360" w:lineRule="auto"/>
                                    <w:jc w:val="center"/>
                                  </w:pPr>
                                </w:p>
                              </w:tc>
                            </w:tr>
                          </w:tbl>
                          <w:p w14:paraId="61095219" w14:textId="77777777" w:rsidR="002F58E9" w:rsidRDefault="002F58E9" w:rsidP="002F58E9"/>
                          <w:p w14:paraId="3D9F74E8" w14:textId="77777777" w:rsidR="002F58E9" w:rsidRDefault="002F58E9" w:rsidP="002F58E9"/>
                          <w:p w14:paraId="2954AA5F" w14:textId="77777777" w:rsidR="002F58E9" w:rsidRPr="00516F86" w:rsidRDefault="002F58E9" w:rsidP="002F58E9">
                            <w:pPr>
                              <w:jc w:val="center"/>
                              <w:rPr>
                                <w:b/>
                                <w:bCs/>
                                <w:sz w:val="36"/>
                                <w:szCs w:val="36"/>
                              </w:rPr>
                            </w:pPr>
                            <w:r w:rsidRPr="00516F86">
                              <w:rPr>
                                <w:b/>
                                <w:bCs/>
                                <w:sz w:val="36"/>
                                <w:szCs w:val="36"/>
                              </w:rPr>
                              <w:t>Impact Summary (Narrative)</w:t>
                            </w:r>
                          </w:p>
                        </w:txbxContent>
                      </v:textbox>
                    </v:shape>
                  </w:pict>
                </mc:Fallback>
              </mc:AlternateContent>
            </w:r>
          </w:p>
        </w:tc>
      </w:tr>
    </w:tbl>
    <w:p w14:paraId="2DD2AAE3" w14:textId="5620E740" w:rsidR="00846361" w:rsidRDefault="00846361" w:rsidP="0041404F">
      <w:pPr>
        <w:rPr>
          <w:b/>
          <w:bCs/>
          <w:sz w:val="72"/>
          <w:szCs w:val="72"/>
        </w:rPr>
      </w:pPr>
    </w:p>
    <w:p w14:paraId="47547052" w14:textId="77777777" w:rsidR="00846361" w:rsidRDefault="00846361">
      <w:pPr>
        <w:rPr>
          <w:b/>
          <w:bCs/>
          <w:sz w:val="72"/>
          <w:szCs w:val="72"/>
        </w:rPr>
      </w:pPr>
      <w:r>
        <w:rPr>
          <w:b/>
          <w:bCs/>
          <w:sz w:val="72"/>
          <w:szCs w:val="72"/>
        </w:rPr>
        <w:br w:type="page"/>
      </w:r>
    </w:p>
    <w:tbl>
      <w:tblPr>
        <w:tblStyle w:val="TableGrid"/>
        <w:tblpPr w:leftFromText="180" w:rightFromText="180" w:vertAnchor="text" w:horzAnchor="page" w:tblpX="875" w:tblpY="629"/>
        <w:tblW w:w="14848" w:type="dxa"/>
        <w:tblLook w:val="04A0" w:firstRow="1" w:lastRow="0" w:firstColumn="1" w:lastColumn="0" w:noHBand="0" w:noVBand="1"/>
      </w:tblPr>
      <w:tblGrid>
        <w:gridCol w:w="7424"/>
        <w:gridCol w:w="7424"/>
      </w:tblGrid>
      <w:tr w:rsidR="00846361" w:rsidRPr="00BC2630" w14:paraId="0956C86D" w14:textId="77777777" w:rsidTr="002D3DDA">
        <w:trPr>
          <w:trHeight w:val="430"/>
        </w:trPr>
        <w:tc>
          <w:tcPr>
            <w:tcW w:w="3712" w:type="dxa"/>
          </w:tcPr>
          <w:p w14:paraId="3CB8F6AF" w14:textId="77777777" w:rsidR="00846361" w:rsidRPr="00BC2630" w:rsidRDefault="00846361" w:rsidP="002D3DDA">
            <w:r w:rsidRPr="00BC2630">
              <w:rPr>
                <w:b/>
                <w:bCs/>
              </w:rPr>
              <w:lastRenderedPageBreak/>
              <w:t>Sports Premium Champion:</w:t>
            </w:r>
          </w:p>
        </w:tc>
        <w:tc>
          <w:tcPr>
            <w:tcW w:w="3712" w:type="dxa"/>
          </w:tcPr>
          <w:p w14:paraId="1EDC6D38" w14:textId="77777777" w:rsidR="00846361" w:rsidRPr="00BC2630" w:rsidRDefault="00846361" w:rsidP="002D3DDA">
            <w:r w:rsidRPr="00BC2630">
              <w:rPr>
                <w:b/>
                <w:bCs/>
              </w:rPr>
              <w:t>Ellie Huggett</w:t>
            </w:r>
          </w:p>
        </w:tc>
      </w:tr>
      <w:tr w:rsidR="00846361" w:rsidRPr="00BC2630" w14:paraId="62FF6F92" w14:textId="77777777" w:rsidTr="002D3DDA">
        <w:trPr>
          <w:trHeight w:val="363"/>
        </w:trPr>
        <w:tc>
          <w:tcPr>
            <w:tcW w:w="3712" w:type="dxa"/>
          </w:tcPr>
          <w:p w14:paraId="6153B139" w14:textId="77777777" w:rsidR="00846361" w:rsidRPr="00BC2630" w:rsidRDefault="00846361" w:rsidP="002D3DDA">
            <w:r w:rsidRPr="00BC2630">
              <w:rPr>
                <w:b/>
                <w:bCs/>
              </w:rPr>
              <w:t>Headteacher:</w:t>
            </w:r>
          </w:p>
        </w:tc>
        <w:tc>
          <w:tcPr>
            <w:tcW w:w="3712" w:type="dxa"/>
          </w:tcPr>
          <w:p w14:paraId="62C2B750" w14:textId="77777777" w:rsidR="00846361" w:rsidRPr="00BC2630" w:rsidRDefault="00846361" w:rsidP="002D3DDA">
            <w:r w:rsidRPr="00BC2630">
              <w:rPr>
                <w:b/>
                <w:bCs/>
              </w:rPr>
              <w:t>Elizabeth Rye</w:t>
            </w:r>
          </w:p>
        </w:tc>
      </w:tr>
      <w:tr w:rsidR="00846361" w:rsidRPr="00BC2630" w14:paraId="2C975D7C" w14:textId="77777777" w:rsidTr="002D3DDA">
        <w:trPr>
          <w:trHeight w:val="331"/>
        </w:trPr>
        <w:tc>
          <w:tcPr>
            <w:tcW w:w="3712" w:type="dxa"/>
          </w:tcPr>
          <w:p w14:paraId="7C682960" w14:textId="77777777" w:rsidR="00846361" w:rsidRPr="00BC2630" w:rsidRDefault="00846361" w:rsidP="002D3DDA">
            <w:r w:rsidRPr="00BC2630">
              <w:rPr>
                <w:b/>
                <w:bCs/>
              </w:rPr>
              <w:t>Governor Responsibility:</w:t>
            </w:r>
          </w:p>
        </w:tc>
        <w:tc>
          <w:tcPr>
            <w:tcW w:w="3712" w:type="dxa"/>
          </w:tcPr>
          <w:p w14:paraId="430832F3" w14:textId="77777777" w:rsidR="00846361" w:rsidRPr="00BC2630" w:rsidRDefault="00846361" w:rsidP="002D3DDA">
            <w:pPr>
              <w:rPr>
                <w:b/>
                <w:bCs/>
              </w:rPr>
            </w:pPr>
            <w:r w:rsidRPr="00BC2630">
              <w:rPr>
                <w:b/>
                <w:bCs/>
              </w:rPr>
              <w:t>Hadley Watling</w:t>
            </w:r>
          </w:p>
        </w:tc>
      </w:tr>
      <w:tr w:rsidR="00846361" w:rsidRPr="00BC2630" w14:paraId="51B6452C" w14:textId="77777777" w:rsidTr="002D3DDA">
        <w:trPr>
          <w:trHeight w:val="373"/>
        </w:trPr>
        <w:tc>
          <w:tcPr>
            <w:tcW w:w="3712" w:type="dxa"/>
          </w:tcPr>
          <w:p w14:paraId="45EA2348" w14:textId="5B686C55" w:rsidR="00846361" w:rsidRPr="00BC2630" w:rsidRDefault="00846361" w:rsidP="002D3DDA">
            <w:pPr>
              <w:rPr>
                <w:b/>
                <w:bCs/>
              </w:rPr>
            </w:pPr>
            <w:r w:rsidRPr="00BC2630">
              <w:rPr>
                <w:b/>
                <w:bCs/>
              </w:rPr>
              <w:t>Written:</w:t>
            </w:r>
          </w:p>
        </w:tc>
        <w:tc>
          <w:tcPr>
            <w:tcW w:w="3712" w:type="dxa"/>
          </w:tcPr>
          <w:p w14:paraId="425854B4" w14:textId="0DFA5D00" w:rsidR="00846361" w:rsidRPr="00BC2630" w:rsidRDefault="00846361" w:rsidP="002D3DDA">
            <w:pPr>
              <w:rPr>
                <w:b/>
                <w:bCs/>
              </w:rPr>
            </w:pPr>
            <w:r>
              <w:rPr>
                <w:b/>
                <w:bCs/>
              </w:rPr>
              <w:t>Sept</w:t>
            </w:r>
            <w:r w:rsidRPr="00BC2630">
              <w:rPr>
                <w:b/>
                <w:bCs/>
              </w:rPr>
              <w:t>ember 2025</w:t>
            </w:r>
          </w:p>
        </w:tc>
      </w:tr>
      <w:tr w:rsidR="00846361" w:rsidRPr="00BC2630" w14:paraId="71AC86E2" w14:textId="77777777" w:rsidTr="002D3DDA">
        <w:trPr>
          <w:trHeight w:val="523"/>
        </w:trPr>
        <w:tc>
          <w:tcPr>
            <w:tcW w:w="3712" w:type="dxa"/>
          </w:tcPr>
          <w:p w14:paraId="58888346" w14:textId="32986ABE" w:rsidR="00846361" w:rsidRPr="00BC2630" w:rsidRDefault="00846361" w:rsidP="002D3DDA">
            <w:pPr>
              <w:rPr>
                <w:b/>
                <w:bCs/>
              </w:rPr>
            </w:pPr>
            <w:r>
              <w:rPr>
                <w:b/>
                <w:bCs/>
              </w:rPr>
              <w:t>Date of next r</w:t>
            </w:r>
            <w:r w:rsidRPr="00BC2630">
              <w:rPr>
                <w:b/>
                <w:bCs/>
              </w:rPr>
              <w:t>eview:</w:t>
            </w:r>
          </w:p>
        </w:tc>
        <w:tc>
          <w:tcPr>
            <w:tcW w:w="3712" w:type="dxa"/>
          </w:tcPr>
          <w:p w14:paraId="0820E98D" w14:textId="0D2D0CAB" w:rsidR="00846361" w:rsidRPr="00846361" w:rsidRDefault="00846361" w:rsidP="002D3DDA">
            <w:pPr>
              <w:rPr>
                <w:b/>
                <w:bCs/>
              </w:rPr>
            </w:pPr>
            <w:r w:rsidRPr="00846361">
              <w:rPr>
                <w:b/>
                <w:bCs/>
              </w:rPr>
              <w:t>November 2025</w:t>
            </w:r>
          </w:p>
        </w:tc>
      </w:tr>
      <w:tr w:rsidR="00846361" w:rsidRPr="00BC2630" w14:paraId="44A55787" w14:textId="77777777" w:rsidTr="002D3DDA">
        <w:trPr>
          <w:trHeight w:val="523"/>
        </w:trPr>
        <w:tc>
          <w:tcPr>
            <w:tcW w:w="3712" w:type="dxa"/>
          </w:tcPr>
          <w:p w14:paraId="02BF82F1" w14:textId="746C6195" w:rsidR="00846361" w:rsidRPr="00BC2630" w:rsidRDefault="00846361" w:rsidP="002D3DDA">
            <w:pPr>
              <w:rPr>
                <w:b/>
                <w:bCs/>
              </w:rPr>
            </w:pPr>
            <w:r>
              <w:rPr>
                <w:b/>
                <w:bCs/>
              </w:rPr>
              <w:t>Date of next r</w:t>
            </w:r>
            <w:r w:rsidRPr="00BC2630">
              <w:rPr>
                <w:b/>
                <w:bCs/>
              </w:rPr>
              <w:t>eview:</w:t>
            </w:r>
          </w:p>
        </w:tc>
        <w:tc>
          <w:tcPr>
            <w:tcW w:w="3712" w:type="dxa"/>
          </w:tcPr>
          <w:p w14:paraId="080F0E54" w14:textId="77777777" w:rsidR="00846361" w:rsidRPr="00846361" w:rsidRDefault="00846361" w:rsidP="002D3DDA">
            <w:pPr>
              <w:rPr>
                <w:b/>
                <w:bCs/>
              </w:rPr>
            </w:pPr>
          </w:p>
        </w:tc>
      </w:tr>
      <w:tr w:rsidR="00846361" w:rsidRPr="00BC2630" w14:paraId="589E36A1" w14:textId="77777777" w:rsidTr="002D3DDA">
        <w:trPr>
          <w:trHeight w:val="523"/>
        </w:trPr>
        <w:tc>
          <w:tcPr>
            <w:tcW w:w="3712" w:type="dxa"/>
          </w:tcPr>
          <w:p w14:paraId="5584EFAD" w14:textId="77777777" w:rsidR="00846361" w:rsidRDefault="00846361" w:rsidP="002D3DDA">
            <w:pPr>
              <w:rPr>
                <w:b/>
                <w:bCs/>
              </w:rPr>
            </w:pPr>
          </w:p>
        </w:tc>
        <w:tc>
          <w:tcPr>
            <w:tcW w:w="3712" w:type="dxa"/>
          </w:tcPr>
          <w:p w14:paraId="67EBB57C" w14:textId="77777777" w:rsidR="00846361" w:rsidRPr="00846361" w:rsidRDefault="00846361" w:rsidP="002D3DDA">
            <w:pPr>
              <w:rPr>
                <w:b/>
                <w:bCs/>
              </w:rPr>
            </w:pPr>
          </w:p>
        </w:tc>
      </w:tr>
    </w:tbl>
    <w:p w14:paraId="3D252C4A" w14:textId="7CE8789A" w:rsidR="00EF75CC" w:rsidRPr="00EF75CC" w:rsidRDefault="00846361" w:rsidP="0041404F">
      <w:pPr>
        <w:rPr>
          <w:b/>
          <w:bCs/>
          <w:sz w:val="72"/>
          <w:szCs w:val="72"/>
        </w:rPr>
      </w:pPr>
      <w:r>
        <w:rPr>
          <w:noProof/>
        </w:rPr>
        <mc:AlternateContent>
          <mc:Choice Requires="wps">
            <w:drawing>
              <wp:anchor distT="0" distB="0" distL="114300" distR="114300" simplePos="0" relativeHeight="251669504" behindDoc="0" locked="0" layoutInCell="1" allowOverlap="1" wp14:anchorId="2492AB0A" wp14:editId="26E68D95">
                <wp:simplePos x="0" y="0"/>
                <wp:positionH relativeFrom="margin">
                  <wp:align>center</wp:align>
                </wp:positionH>
                <wp:positionV relativeFrom="paragraph">
                  <wp:posOffset>2976851</wp:posOffset>
                </wp:positionV>
                <wp:extent cx="9478537" cy="2732567"/>
                <wp:effectExtent l="0" t="0" r="8890" b="0"/>
                <wp:wrapNone/>
                <wp:docPr id="916242426" name="Text Box 3"/>
                <wp:cNvGraphicFramePr/>
                <a:graphic xmlns:a="http://schemas.openxmlformats.org/drawingml/2006/main">
                  <a:graphicData uri="http://schemas.microsoft.com/office/word/2010/wordprocessingShape">
                    <wps:wsp>
                      <wps:cNvSpPr txBox="1"/>
                      <wps:spPr>
                        <a:xfrm>
                          <a:off x="0" y="0"/>
                          <a:ext cx="9478537" cy="2732567"/>
                        </a:xfrm>
                        <a:prstGeom prst="rect">
                          <a:avLst/>
                        </a:prstGeom>
                        <a:solidFill>
                          <a:schemeClr val="lt1"/>
                        </a:solidFill>
                        <a:ln w="6350">
                          <a:noFill/>
                        </a:ln>
                      </wps:spPr>
                      <wps:txbx>
                        <w:txbxContent>
                          <w:p w14:paraId="0D65CD1D" w14:textId="77777777" w:rsidR="00846361" w:rsidRPr="00516F86" w:rsidRDefault="00846361" w:rsidP="00846361">
                            <w:pPr>
                              <w:rPr>
                                <w:sz w:val="32"/>
                                <w:szCs w:val="32"/>
                              </w:rPr>
                            </w:pPr>
                            <w:r w:rsidRPr="00516F86">
                              <w:rPr>
                                <w:i/>
                                <w:iCs/>
                                <w:sz w:val="32"/>
                                <w:szCs w:val="32"/>
                              </w:rPr>
                              <w:t>This document meets the statutory reporting requirements for the Primary PE and Sport Premium, in line with the DfE guidelines.’’</w:t>
                            </w:r>
                          </w:p>
                          <w:p w14:paraId="157A846A" w14:textId="77777777" w:rsidR="00846361" w:rsidRPr="00516F86" w:rsidRDefault="00846361" w:rsidP="00846361">
                            <w:pPr>
                              <w:rPr>
                                <w:sz w:val="32"/>
                                <w:szCs w:val="32"/>
                              </w:rPr>
                            </w:pPr>
                          </w:p>
                          <w:p w14:paraId="183696CD" w14:textId="77777777" w:rsidR="00846361" w:rsidRDefault="00846361" w:rsidP="00846361">
                            <w:r w:rsidRPr="00516F86">
                              <w:t xml:space="preserve">Signed: </w:t>
                            </w:r>
                          </w:p>
                          <w:p w14:paraId="686B27AB" w14:textId="77777777" w:rsidR="00846361" w:rsidRDefault="00846361" w:rsidP="00846361"/>
                          <w:p w14:paraId="22A23756" w14:textId="77777777" w:rsidR="00846361" w:rsidRDefault="00846361" w:rsidP="00846361"/>
                          <w:p w14:paraId="3D7F0834" w14:textId="77777777" w:rsidR="00846361" w:rsidRDefault="00846361" w:rsidP="00846361"/>
                          <w:p w14:paraId="6EA9E07B" w14:textId="77777777" w:rsidR="00846361" w:rsidRPr="00516F86" w:rsidRDefault="00846361" w:rsidP="00846361">
                            <w:r w:rsidRPr="00516F86">
                              <w:t xml:space="preserve">Signed: </w:t>
                            </w:r>
                          </w:p>
                          <w:p w14:paraId="0D1B62CC" w14:textId="77777777" w:rsidR="00846361" w:rsidRPr="00516F86" w:rsidRDefault="00846361" w:rsidP="008463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92AB0A" id="Text Box 3" o:spid="_x0000_s1028" type="#_x0000_t202" style="position:absolute;margin-left:0;margin-top:234.4pt;width:746.35pt;height:215.15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" fillcolor="white [3201]" stroked="f" strokeweight=".5pt">
                <v:textbox>
                  <w:txbxContent>
                    <w:p w14:paraId="0D65CD1D" w14:textId="77777777" w:rsidR="00846361" w:rsidRPr="00516F86" w:rsidRDefault="00846361" w:rsidP="00846361">
                      <w:pPr>
                        <w:rPr>
                          <w:sz w:val="32"/>
                          <w:szCs w:val="32"/>
                        </w:rPr>
                      </w:pPr>
                      <w:r w:rsidRPr="00516F86">
                        <w:rPr>
                          <w:i/>
                          <w:iCs/>
                          <w:sz w:val="32"/>
                          <w:szCs w:val="32"/>
                        </w:rPr>
                        <w:t>This document meets the statutory reporting requirements for the Primary PE and Sport Premium, in line with the DfE guidelines.’’</w:t>
                      </w:r>
                    </w:p>
                    <w:p w14:paraId="157A846A" w14:textId="77777777" w:rsidR="00846361" w:rsidRPr="00516F86" w:rsidRDefault="00846361" w:rsidP="00846361">
                      <w:pPr>
                        <w:rPr>
                          <w:sz w:val="32"/>
                          <w:szCs w:val="32"/>
                        </w:rPr>
                      </w:pPr>
                    </w:p>
                    <w:p w14:paraId="183696CD" w14:textId="77777777" w:rsidR="00846361" w:rsidRDefault="00846361" w:rsidP="00846361">
                      <w:r w:rsidRPr="00516F86">
                        <w:t xml:space="preserve">Signed: </w:t>
                      </w:r>
                    </w:p>
                    <w:p w14:paraId="686B27AB" w14:textId="77777777" w:rsidR="00846361" w:rsidRDefault="00846361" w:rsidP="00846361"/>
                    <w:p w14:paraId="22A23756" w14:textId="77777777" w:rsidR="00846361" w:rsidRDefault="00846361" w:rsidP="00846361"/>
                    <w:p w14:paraId="3D7F0834" w14:textId="77777777" w:rsidR="00846361" w:rsidRDefault="00846361" w:rsidP="00846361"/>
                    <w:p w14:paraId="6EA9E07B" w14:textId="77777777" w:rsidR="00846361" w:rsidRPr="00516F86" w:rsidRDefault="00846361" w:rsidP="00846361">
                      <w:r w:rsidRPr="00516F86">
                        <w:t xml:space="preserve">Signed: </w:t>
                      </w:r>
                    </w:p>
                    <w:p w14:paraId="0D1B62CC" w14:textId="77777777" w:rsidR="00846361" w:rsidRPr="00516F86" w:rsidRDefault="00846361" w:rsidP="00846361"/>
                  </w:txbxContent>
                </v:textbox>
                <w10:wrap anchorx="margin"/>
              </v:shape>
            </w:pict>
          </mc:Fallback>
        </mc:AlternateContent>
      </w:r>
    </w:p>
    <w:sectPr w:rsidR="00EF75CC" w:rsidRPr="00EF75CC" w:rsidSect="00EF75CC">
      <w:pgSz w:w="16840" w:h="11900" w:orient="landscape"/>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14CAD"/>
    <w:multiLevelType w:val="hybridMultilevel"/>
    <w:tmpl w:val="4EFA26DC"/>
    <w:lvl w:ilvl="0" w:tplc="8AA8B8A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41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6B"/>
    <w:rsid w:val="00012072"/>
    <w:rsid w:val="00020F2D"/>
    <w:rsid w:val="00085676"/>
    <w:rsid w:val="000B285B"/>
    <w:rsid w:val="00106D39"/>
    <w:rsid w:val="00147595"/>
    <w:rsid w:val="00184FFB"/>
    <w:rsid w:val="0019745E"/>
    <w:rsid w:val="001D308B"/>
    <w:rsid w:val="001F5635"/>
    <w:rsid w:val="00215E38"/>
    <w:rsid w:val="00276042"/>
    <w:rsid w:val="002E4BF8"/>
    <w:rsid w:val="002F58E9"/>
    <w:rsid w:val="00312812"/>
    <w:rsid w:val="003F409A"/>
    <w:rsid w:val="0041404F"/>
    <w:rsid w:val="004167E2"/>
    <w:rsid w:val="004175EA"/>
    <w:rsid w:val="00477597"/>
    <w:rsid w:val="00516F86"/>
    <w:rsid w:val="005A133E"/>
    <w:rsid w:val="006C61FD"/>
    <w:rsid w:val="00760971"/>
    <w:rsid w:val="007B45C7"/>
    <w:rsid w:val="00801AD2"/>
    <w:rsid w:val="00816E5B"/>
    <w:rsid w:val="00846361"/>
    <w:rsid w:val="0093273E"/>
    <w:rsid w:val="00A5674F"/>
    <w:rsid w:val="00A7205B"/>
    <w:rsid w:val="00A822FF"/>
    <w:rsid w:val="00BB62CC"/>
    <w:rsid w:val="00BC2630"/>
    <w:rsid w:val="00C173E7"/>
    <w:rsid w:val="00C6625A"/>
    <w:rsid w:val="00EA4424"/>
    <w:rsid w:val="00EC016B"/>
    <w:rsid w:val="00EF75CC"/>
    <w:rsid w:val="00FC2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95F2"/>
  <w15:chartTrackingRefBased/>
  <w15:docId w15:val="{2D73227E-4F01-B74F-9E9B-6D9E12DE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1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1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1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1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16B"/>
    <w:rPr>
      <w:rFonts w:eastAsiaTheme="majorEastAsia" w:cstheme="majorBidi"/>
      <w:color w:val="272727" w:themeColor="text1" w:themeTint="D8"/>
    </w:rPr>
  </w:style>
  <w:style w:type="paragraph" w:styleId="Title">
    <w:name w:val="Title"/>
    <w:basedOn w:val="Normal"/>
    <w:next w:val="Normal"/>
    <w:link w:val="TitleChar"/>
    <w:uiPriority w:val="10"/>
    <w:qFormat/>
    <w:rsid w:val="00EC01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1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1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016B"/>
    <w:rPr>
      <w:i/>
      <w:iCs/>
      <w:color w:val="404040" w:themeColor="text1" w:themeTint="BF"/>
    </w:rPr>
  </w:style>
  <w:style w:type="paragraph" w:styleId="ListParagraph">
    <w:name w:val="List Paragraph"/>
    <w:basedOn w:val="Normal"/>
    <w:uiPriority w:val="34"/>
    <w:qFormat/>
    <w:rsid w:val="00EC016B"/>
    <w:pPr>
      <w:ind w:left="720"/>
      <w:contextualSpacing/>
    </w:pPr>
  </w:style>
  <w:style w:type="character" w:styleId="IntenseEmphasis">
    <w:name w:val="Intense Emphasis"/>
    <w:basedOn w:val="DefaultParagraphFont"/>
    <w:uiPriority w:val="21"/>
    <w:qFormat/>
    <w:rsid w:val="00EC016B"/>
    <w:rPr>
      <w:i/>
      <w:iCs/>
      <w:color w:val="0F4761" w:themeColor="accent1" w:themeShade="BF"/>
    </w:rPr>
  </w:style>
  <w:style w:type="paragraph" w:styleId="IntenseQuote">
    <w:name w:val="Intense Quote"/>
    <w:basedOn w:val="Normal"/>
    <w:next w:val="Normal"/>
    <w:link w:val="IntenseQuoteChar"/>
    <w:uiPriority w:val="30"/>
    <w:qFormat/>
    <w:rsid w:val="00EC0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16B"/>
    <w:rPr>
      <w:i/>
      <w:iCs/>
      <w:color w:val="0F4761" w:themeColor="accent1" w:themeShade="BF"/>
    </w:rPr>
  </w:style>
  <w:style w:type="character" w:styleId="IntenseReference">
    <w:name w:val="Intense Reference"/>
    <w:basedOn w:val="DefaultParagraphFont"/>
    <w:uiPriority w:val="32"/>
    <w:qFormat/>
    <w:rsid w:val="00EC016B"/>
    <w:rPr>
      <w:b/>
      <w:bCs/>
      <w:smallCaps/>
      <w:color w:val="0F4761" w:themeColor="accent1" w:themeShade="BF"/>
      <w:spacing w:val="5"/>
    </w:rPr>
  </w:style>
  <w:style w:type="table" w:styleId="TableGrid">
    <w:name w:val="Table Grid"/>
    <w:basedOn w:val="TableNormal"/>
    <w:uiPriority w:val="39"/>
    <w:rsid w:val="00EF7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6867">
      <w:bodyDiv w:val="1"/>
      <w:marLeft w:val="0"/>
      <w:marRight w:val="0"/>
      <w:marTop w:val="0"/>
      <w:marBottom w:val="0"/>
      <w:divBdr>
        <w:top w:val="none" w:sz="0" w:space="0" w:color="auto"/>
        <w:left w:val="none" w:sz="0" w:space="0" w:color="auto"/>
        <w:bottom w:val="none" w:sz="0" w:space="0" w:color="auto"/>
        <w:right w:val="none" w:sz="0" w:space="0" w:color="auto"/>
      </w:divBdr>
    </w:div>
    <w:div w:id="230429109">
      <w:bodyDiv w:val="1"/>
      <w:marLeft w:val="0"/>
      <w:marRight w:val="0"/>
      <w:marTop w:val="0"/>
      <w:marBottom w:val="0"/>
      <w:divBdr>
        <w:top w:val="none" w:sz="0" w:space="0" w:color="auto"/>
        <w:left w:val="none" w:sz="0" w:space="0" w:color="auto"/>
        <w:bottom w:val="none" w:sz="0" w:space="0" w:color="auto"/>
        <w:right w:val="none" w:sz="0" w:space="0" w:color="auto"/>
      </w:divBdr>
    </w:div>
    <w:div w:id="1314942981">
      <w:bodyDiv w:val="1"/>
      <w:marLeft w:val="0"/>
      <w:marRight w:val="0"/>
      <w:marTop w:val="0"/>
      <w:marBottom w:val="0"/>
      <w:divBdr>
        <w:top w:val="none" w:sz="0" w:space="0" w:color="auto"/>
        <w:left w:val="none" w:sz="0" w:space="0" w:color="auto"/>
        <w:bottom w:val="none" w:sz="0" w:space="0" w:color="auto"/>
        <w:right w:val="none" w:sz="0" w:space="0" w:color="auto"/>
      </w:divBdr>
    </w:div>
    <w:div w:id="1346442552">
      <w:bodyDiv w:val="1"/>
      <w:marLeft w:val="0"/>
      <w:marRight w:val="0"/>
      <w:marTop w:val="0"/>
      <w:marBottom w:val="0"/>
      <w:divBdr>
        <w:top w:val="none" w:sz="0" w:space="0" w:color="auto"/>
        <w:left w:val="none" w:sz="0" w:space="0" w:color="auto"/>
        <w:bottom w:val="none" w:sz="0" w:space="0" w:color="auto"/>
        <w:right w:val="none" w:sz="0" w:space="0" w:color="auto"/>
      </w:divBdr>
    </w:div>
    <w:div w:id="1836651470">
      <w:bodyDiv w:val="1"/>
      <w:marLeft w:val="0"/>
      <w:marRight w:val="0"/>
      <w:marTop w:val="0"/>
      <w:marBottom w:val="0"/>
      <w:divBdr>
        <w:top w:val="none" w:sz="0" w:space="0" w:color="auto"/>
        <w:left w:val="none" w:sz="0" w:space="0" w:color="auto"/>
        <w:bottom w:val="none" w:sz="0" w:space="0" w:color="auto"/>
        <w:right w:val="none" w:sz="0" w:space="0" w:color="auto"/>
      </w:divBdr>
    </w:div>
    <w:div w:id="208530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Huggett</dc:creator>
  <cp:keywords/>
  <dc:description/>
  <cp:lastModifiedBy>Reception</cp:lastModifiedBy>
  <cp:revision>2</cp:revision>
  <dcterms:created xsi:type="dcterms:W3CDTF">2025-11-21T11:29:00Z</dcterms:created>
  <dcterms:modified xsi:type="dcterms:W3CDTF">2025-11-21T11:29:00Z</dcterms:modified>
</cp:coreProperties>
</file>